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1"/>
        <w:widowControl w:val="false"/>
        <w:bidi w:val="0"/>
        <w:spacing w:before="480" w:after="0"/>
        <w:ind w:left="0" w:right="0" w:hanging="0"/>
        <w:jc w:val="center"/>
        <w:rPr/>
      </w:pPr>
      <w:r>
        <w:rPr>
          <w:rFonts w:cs="Times New Roman" w:ascii="Times New Roman" w:hAnsi="Times New Roman"/>
          <w:b w:val="false"/>
          <w:color w:val="auto"/>
        </w:rPr>
        <w:t xml:space="preserve">ИНФОРМАЦИОННОЕ СООБЩЕНИЕ </w:t>
      </w:r>
    </w:p>
    <w:p>
      <w:pPr>
        <w:pStyle w:val="Normal"/>
        <w:widowControl w:val="false"/>
        <w:pBdr>
          <w:bottom w:val="single" w:sz="12" w:space="1" w:color="000000"/>
        </w:pBdr>
        <w:bidi w:val="0"/>
        <w:ind w:left="0" w:right="0" w:hanging="0"/>
        <w:jc w:val="center"/>
        <w:rPr/>
      </w:pPr>
      <w:r>
        <w:rPr>
          <w:sz w:val="28"/>
        </w:rPr>
        <w:t xml:space="preserve">о продаже объектов муниципального имущества </w:t>
      </w:r>
    </w:p>
    <w:p>
      <w:pPr>
        <w:pStyle w:val="Normal"/>
        <w:widowControl w:val="false"/>
        <w:pBdr>
          <w:bottom w:val="single" w:sz="12" w:space="1" w:color="000000"/>
        </w:pBdr>
        <w:bidi w:val="0"/>
        <w:ind w:left="0" w:right="0" w:hanging="0"/>
        <w:jc w:val="center"/>
        <w:rPr/>
      </w:pPr>
      <w:r>
        <w:rPr>
          <w:sz w:val="28"/>
        </w:rPr>
        <w:t>на аукционе в электронной форме</w:t>
      </w:r>
    </w:p>
    <w:p>
      <w:pPr>
        <w:pStyle w:val="Normal"/>
        <w:widowControl w:val="false"/>
        <w:bidi w:val="0"/>
        <w:ind w:left="0" w:right="0" w:hanging="0"/>
        <w:jc w:val="center"/>
        <w:rPr>
          <w:rFonts w:ascii="Times New Roman" w:hAnsi="Times New Roman"/>
        </w:rPr>
      </w:pPr>
      <w:r>
        <w:rPr/>
      </w:r>
    </w:p>
    <w:p>
      <w:pPr>
        <w:pStyle w:val="Normal"/>
        <w:widowControl w:val="false"/>
        <w:bidi w:val="0"/>
        <w:ind w:left="0" w:right="0" w:hanging="0"/>
        <w:jc w:val="left"/>
        <w:rPr/>
      </w:pPr>
      <w:r>
        <w:rPr/>
        <w:t>г. Каменск-Уральский</w:t>
      </w:r>
    </w:p>
    <w:p>
      <w:pPr>
        <w:pStyle w:val="Normal"/>
        <w:widowControl w:val="false"/>
        <w:bidi w:val="0"/>
        <w:ind w:left="0" w:right="0" w:hanging="0"/>
        <w:jc w:val="left"/>
        <w:rPr>
          <w:rFonts w:ascii="Times New Roman" w:hAnsi="Times New Roman"/>
        </w:rPr>
      </w:pPr>
      <w:r>
        <w:rPr/>
      </w:r>
    </w:p>
    <w:p>
      <w:pPr>
        <w:pStyle w:val="Normal"/>
        <w:widowControl w:val="false"/>
        <w:bidi w:val="0"/>
        <w:ind w:left="0" w:right="0" w:firstLine="708"/>
        <w:rPr/>
      </w:pPr>
      <w:r>
        <w:rPr/>
        <w:t>Аукцион по продаже имущества проводится в соответствии с Федеральным законом от 21.12.2001 № 178-ФЗ «О приватизации государственного и муниципального имущества», (далее – Закон о приватизации), постановлением Правительства Российской Федерации от 27.08.2012 № 860 «Об организации и проведении продажи государственного или муниципального имущества в электронной форме», приказам МАУ «Центр РФС»  от 15.06.2022 № 181 «О продаже муниципального имущества», , регламентом электронной площадки «Сбербанк-АСТ» (</w:t>
      </w:r>
      <w:hyperlink r:id="rId2">
        <w:r>
          <w:rPr>
            <w:rStyle w:val="Style11"/>
            <w:lang w:val="ru-RU" w:eastAsia="en-US" w:bidi="ar-SA"/>
          </w:rPr>
          <w:t>http://utp.sberbankast.ru/AP/Notice/1027/Instructions</w:t>
        </w:r>
      </w:hyperlink>
      <w:r>
        <w:rPr/>
        <w:t>).</w:t>
      </w:r>
    </w:p>
    <w:p>
      <w:pPr>
        <w:pStyle w:val="Normal"/>
        <w:widowControl w:val="false"/>
        <w:bidi w:val="0"/>
        <w:ind w:left="0" w:right="0" w:firstLine="708"/>
        <w:rPr>
          <w:rFonts w:ascii="Times New Roman" w:hAnsi="Times New Roman"/>
          <w:b/>
          <w:b/>
        </w:rPr>
      </w:pPr>
      <w:r>
        <w:rPr>
          <w:b/>
        </w:rPr>
      </w:r>
    </w:p>
    <w:p>
      <w:pPr>
        <w:pStyle w:val="Normal"/>
        <w:bidi w:val="0"/>
        <w:ind w:left="0" w:right="0" w:hanging="0"/>
        <w:rPr/>
      </w:pPr>
      <w:r>
        <w:rPr/>
        <w:t>Продавец: Муниципальное автономное учреждение «Центр развития физической культуры и спорта города Каменска-Уральского».</w:t>
      </w:r>
    </w:p>
    <w:p>
      <w:pPr>
        <w:pStyle w:val="Normal"/>
        <w:bidi w:val="0"/>
        <w:ind w:left="0" w:right="0" w:hanging="0"/>
        <w:rPr/>
      </w:pPr>
      <w:r>
        <w:rPr/>
        <w:t>Адрес: 623406, Свердловская область,  г. Каменск-Уральский, ул. Исетская, д.1. тел. 8 (3439) 530044;</w:t>
      </w:r>
    </w:p>
    <w:p>
      <w:pPr>
        <w:pStyle w:val="Normal"/>
        <w:bidi w:val="0"/>
        <w:ind w:left="0" w:right="0" w:hanging="0"/>
        <w:jc w:val="left"/>
        <w:rPr/>
      </w:pPr>
      <w:r>
        <w:rPr/>
        <w:t xml:space="preserve">электронная почта: </w:t>
      </w:r>
      <w:hyperlink r:id="rId3">
        <w:r>
          <w:rPr>
            <w:rStyle w:val="ListLabel21"/>
            <w:lang w:val="en-US"/>
          </w:rPr>
          <w:t>urist</w:t>
        </w:r>
        <w:r>
          <w:rPr>
            <w:rStyle w:val="ListLabel21"/>
          </w:rPr>
          <w:t xml:space="preserve">181@ </w:t>
        </w:r>
        <w:r>
          <w:rPr>
            <w:rStyle w:val="ListLabel21"/>
            <w:lang w:val="en-US"/>
          </w:rPr>
          <w:t>mail</w:t>
        </w:r>
      </w:hyperlink>
      <w:r>
        <w:rPr/>
        <w:t>.</w:t>
      </w:r>
      <w:r>
        <w:rPr>
          <w:lang w:val="en-US"/>
        </w:rPr>
        <w:t>ru</w:t>
      </w:r>
      <w:r>
        <w:rPr/>
        <w:t>.</w:t>
      </w:r>
    </w:p>
    <w:p>
      <w:pPr>
        <w:pStyle w:val="Normal"/>
        <w:bidi w:val="0"/>
        <w:ind w:left="0" w:right="0" w:hanging="0"/>
        <w:jc w:val="left"/>
        <w:rPr>
          <w:rFonts w:ascii="Times New Roman" w:hAnsi="Times New Roman"/>
          <w:b/>
          <w:b/>
        </w:rPr>
      </w:pPr>
      <w:r>
        <w:rPr>
          <w:b/>
        </w:rPr>
      </w:r>
    </w:p>
    <w:p>
      <w:pPr>
        <w:pStyle w:val="Normal"/>
        <w:bidi w:val="0"/>
        <w:ind w:left="0" w:right="0" w:hanging="0"/>
        <w:jc w:val="left"/>
        <w:rPr/>
      </w:pPr>
      <w:r>
        <w:rPr/>
        <w:t>Оператор электронной площадки: АО «Сбербанк-АСТ», владеющее сайтом http://utp.sberbank-ast.ru/AP в информационно-телекоммуникационной сети «Интернет».</w:t>
      </w:r>
    </w:p>
    <w:p>
      <w:pPr>
        <w:pStyle w:val="Normal"/>
        <w:bidi w:val="0"/>
        <w:ind w:left="0" w:right="0" w:hanging="0"/>
        <w:jc w:val="left"/>
        <w:rPr>
          <w:rFonts w:ascii="Times New Roman" w:hAnsi="Times New Roman"/>
          <w:b/>
          <w:b/>
        </w:rPr>
      </w:pPr>
      <w:r>
        <w:rPr>
          <w:b/>
        </w:rPr>
      </w:r>
    </w:p>
    <w:p>
      <w:pPr>
        <w:pStyle w:val="Normal"/>
        <w:bidi w:val="0"/>
        <w:ind w:left="0" w:right="0" w:hanging="0"/>
        <w:jc w:val="center"/>
        <w:rPr/>
      </w:pPr>
      <w:r>
        <w:rPr>
          <w:b/>
        </w:rPr>
        <w:t>1. Сведения об объектах приватизации.</w:t>
      </w:r>
    </w:p>
    <w:p>
      <w:pPr>
        <w:pStyle w:val="Normal"/>
        <w:bidi w:val="0"/>
        <w:ind w:left="0" w:right="0" w:hanging="0"/>
        <w:jc w:val="left"/>
        <w:rPr>
          <w:rFonts w:ascii="Times New Roman" w:hAnsi="Times New Roman"/>
        </w:rPr>
      </w:pPr>
      <w:r>
        <w:rPr/>
      </w:r>
    </w:p>
    <w:p>
      <w:pPr>
        <w:pStyle w:val="Normal"/>
        <w:bidi w:val="0"/>
        <w:ind w:left="0" w:right="0" w:hanging="0"/>
        <w:jc w:val="left"/>
        <w:rPr/>
      </w:pPr>
      <w:r>
        <w:rPr/>
        <w:t>Предмет аукциона - продажа муниципального имущества:</w:t>
      </w:r>
    </w:p>
    <w:p>
      <w:pPr>
        <w:pStyle w:val="Normal"/>
        <w:bidi w:val="0"/>
        <w:ind w:left="0" w:right="0" w:hanging="0"/>
        <w:rPr>
          <w:rFonts w:ascii="Times New Roman" w:hAnsi="Times New Roman"/>
          <w:highlight w:val="yellow"/>
        </w:rPr>
      </w:pPr>
      <w:r>
        <w:rPr>
          <w:highlight w:val="yellow"/>
        </w:rPr>
      </w:r>
    </w:p>
    <w:p>
      <w:pPr>
        <w:pStyle w:val="Normal"/>
        <w:bidi w:val="0"/>
        <w:ind w:left="0" w:right="0" w:hanging="0"/>
        <w:rPr/>
      </w:pPr>
      <w:r>
        <w:rPr>
          <w:b/>
        </w:rPr>
        <w:t>Лот № 1:</w:t>
      </w:r>
    </w:p>
    <w:p>
      <w:pPr>
        <w:pStyle w:val="Normal"/>
        <w:bidi w:val="0"/>
        <w:ind w:left="0" w:right="0" w:hanging="0"/>
        <w:rPr/>
      </w:pPr>
      <w:r>
        <w:rPr/>
        <w:t>транспортное средство: ГАЗ3221, VIN XТН322100Х0129757, год выпуска: 1999 г., государственный регистрационный знак М901ТС96,</w:t>
      </w:r>
    </w:p>
    <w:p>
      <w:pPr>
        <w:pStyle w:val="Normal"/>
        <w:bidi w:val="0"/>
        <w:ind w:left="0" w:right="0" w:hanging="0"/>
        <w:rPr/>
      </w:pPr>
      <w:r>
        <w:rPr/>
        <w:t>категория (тип ТС) – В,</w:t>
      </w:r>
    </w:p>
    <w:p>
      <w:pPr>
        <w:pStyle w:val="Normal"/>
        <w:bidi w:val="0"/>
        <w:ind w:left="0" w:right="0" w:hanging="0"/>
        <w:rPr/>
      </w:pPr>
      <w:r>
        <w:rPr/>
        <w:t>модель, № двигателя 40200А-</w:t>
      </w:r>
      <w:r>
        <w:rPr>
          <w:lang w:val="en-US"/>
        </w:rPr>
        <w:t>W</w:t>
      </w:r>
      <w:r>
        <w:rPr/>
        <w:t>0015778,</w:t>
      </w:r>
    </w:p>
    <w:p>
      <w:pPr>
        <w:pStyle w:val="Normal"/>
        <w:bidi w:val="0"/>
        <w:ind w:left="0" w:right="0" w:hanging="0"/>
        <w:rPr/>
      </w:pPr>
      <w:r>
        <w:rPr/>
        <w:t>шасси (рама) № 322100</w:t>
      </w:r>
      <w:r>
        <w:rPr>
          <w:lang w:val="en-US"/>
        </w:rPr>
        <w:t>X</w:t>
      </w:r>
      <w:r>
        <w:rPr/>
        <w:t>0129155,</w:t>
      </w:r>
    </w:p>
    <w:p>
      <w:pPr>
        <w:pStyle w:val="Normal"/>
        <w:bidi w:val="0"/>
        <w:ind w:left="0" w:right="0" w:hanging="0"/>
        <w:rPr/>
      </w:pPr>
      <w:r>
        <w:rPr/>
        <w:t>кузов (кабина, прицеп) № 322100</w:t>
      </w:r>
      <w:r>
        <w:rPr>
          <w:lang w:val="en-US"/>
        </w:rPr>
        <w:t>X</w:t>
      </w:r>
      <w:r>
        <w:rPr/>
        <w:t>0024608,</w:t>
      </w:r>
    </w:p>
    <w:p>
      <w:pPr>
        <w:pStyle w:val="Normal"/>
        <w:bidi w:val="0"/>
        <w:ind w:left="0" w:right="0" w:hanging="0"/>
        <w:rPr/>
      </w:pPr>
      <w:r>
        <w:rPr/>
        <w:t>цвет кузова –сине-зеленый,</w:t>
      </w:r>
    </w:p>
    <w:p>
      <w:pPr>
        <w:pStyle w:val="Normal"/>
        <w:bidi w:val="0"/>
        <w:ind w:left="0" w:right="0" w:hanging="0"/>
        <w:rPr/>
      </w:pPr>
      <w:r>
        <w:rPr/>
        <w:t>мощность двигателя, л.с. (кВт) 100/73,5,</w:t>
      </w:r>
    </w:p>
    <w:p>
      <w:pPr>
        <w:pStyle w:val="Normal"/>
        <w:bidi w:val="0"/>
        <w:ind w:left="0" w:right="0" w:hanging="0"/>
        <w:rPr/>
      </w:pPr>
      <w:r>
        <w:rPr/>
        <w:t>рабочий объем двигателя, куб. см. 2445,</w:t>
      </w:r>
    </w:p>
    <w:p>
      <w:pPr>
        <w:pStyle w:val="Normal"/>
        <w:bidi w:val="0"/>
        <w:ind w:left="0" w:right="0" w:hanging="0"/>
        <w:rPr/>
      </w:pPr>
      <w:r>
        <w:rPr/>
        <w:t>тип двигателя -бензиновый,</w:t>
      </w:r>
    </w:p>
    <w:p>
      <w:pPr>
        <w:pStyle w:val="Normal"/>
        <w:bidi w:val="0"/>
        <w:ind w:left="0" w:right="0" w:hanging="0"/>
        <w:rPr/>
      </w:pPr>
      <w:r>
        <w:rPr/>
        <w:t>разрешенная максимальная масса, кг  -3250,</w:t>
      </w:r>
    </w:p>
    <w:p>
      <w:pPr>
        <w:pStyle w:val="Normal"/>
        <w:bidi w:val="0"/>
        <w:ind w:left="0" w:right="0" w:hanging="0"/>
        <w:rPr/>
      </w:pPr>
      <w:r>
        <w:rPr/>
        <w:t>масса без нагрузки, кг -2500,</w:t>
      </w:r>
    </w:p>
    <w:p>
      <w:pPr>
        <w:pStyle w:val="Normal"/>
        <w:bidi w:val="0"/>
        <w:ind w:left="0" w:right="0" w:hanging="0"/>
        <w:rPr/>
      </w:pPr>
      <w:r>
        <w:rPr/>
        <w:t>организация- изготовитель ТС (страна) Россия ОАО ГАЗ</w:t>
      </w:r>
    </w:p>
    <w:p>
      <w:pPr>
        <w:pStyle w:val="Normal"/>
        <w:bidi w:val="0"/>
        <w:ind w:left="0" w:right="0" w:hanging="0"/>
        <w:rPr/>
      </w:pPr>
      <w:r>
        <w:rPr/>
        <w:t>паспорт транспортного средства 66 КР 717519 выдан ОАО ГАЗ</w:t>
      </w:r>
    </w:p>
    <w:p>
      <w:pPr>
        <w:pStyle w:val="Normal"/>
        <w:bidi w:val="0"/>
        <w:ind w:left="0" w:right="0" w:hanging="0"/>
        <w:rPr/>
      </w:pPr>
      <w:r>
        <w:rPr/>
        <w:t>Свидетельство о регистрации ТС 66 ХТ № 664229 выдано 26.04.2012 г. МРЭО ГИБДД УВД г. Каменска-Уральского.</w:t>
      </w:r>
    </w:p>
    <w:p>
      <w:pPr>
        <w:pStyle w:val="Normal"/>
        <w:bidi w:val="0"/>
        <w:ind w:left="0" w:right="0" w:hanging="0"/>
        <w:rPr/>
      </w:pPr>
      <w:r>
        <w:rPr>
          <w:b/>
        </w:rPr>
        <w:t xml:space="preserve">Начальная цена имущества – 42000 </w:t>
      </w:r>
      <w:r>
        <w:rPr/>
        <w:t xml:space="preserve">(сорок две тысячи) рублей </w:t>
      </w:r>
      <w:r>
        <w:rPr>
          <w:b/>
        </w:rPr>
        <w:t>00</w:t>
      </w:r>
      <w:r>
        <w:rPr/>
        <w:t xml:space="preserve"> копеек, НДС не предусмотрен.</w:t>
      </w:r>
    </w:p>
    <w:p>
      <w:pPr>
        <w:pStyle w:val="Normal"/>
        <w:tabs>
          <w:tab w:val="clear" w:pos="708"/>
          <w:tab w:val="left" w:pos="3969" w:leader="none"/>
        </w:tabs>
        <w:bidi w:val="0"/>
        <w:ind w:left="0" w:right="0" w:hanging="0"/>
        <w:rPr/>
      </w:pPr>
      <w:r>
        <w:rPr>
          <w:b/>
        </w:rPr>
        <w:t>«Шаг аукциона»</w:t>
      </w:r>
      <w:r>
        <w:rPr/>
        <w:t xml:space="preserve"> </w:t>
      </w:r>
      <w:r>
        <w:rPr>
          <w:b/>
        </w:rPr>
        <w:t xml:space="preserve">- 2100 </w:t>
      </w:r>
      <w:r>
        <w:rPr/>
        <w:t xml:space="preserve">(две тысячи) рублей </w:t>
      </w:r>
      <w:r>
        <w:rPr>
          <w:b/>
        </w:rPr>
        <w:t xml:space="preserve">00 </w:t>
      </w:r>
      <w:r>
        <w:rPr/>
        <w:t>копеек.</w:t>
      </w:r>
    </w:p>
    <w:p>
      <w:pPr>
        <w:pStyle w:val="Normal"/>
        <w:tabs>
          <w:tab w:val="clear" w:pos="708"/>
          <w:tab w:val="left" w:pos="3969" w:leader="none"/>
        </w:tabs>
        <w:bidi w:val="0"/>
        <w:ind w:left="0" w:right="0" w:hanging="0"/>
        <w:rPr/>
      </w:pPr>
      <w:r>
        <w:rPr>
          <w:b/>
        </w:rPr>
        <w:t xml:space="preserve">Задаток установлен в размере: 8400 </w:t>
      </w:r>
      <w:r>
        <w:rPr/>
        <w:t xml:space="preserve">(восемь тысяч) рублей </w:t>
      </w:r>
      <w:r>
        <w:rPr>
          <w:b/>
        </w:rPr>
        <w:t>00</w:t>
      </w:r>
      <w:r>
        <w:rPr/>
        <w:t xml:space="preserve"> копеек.</w:t>
      </w:r>
    </w:p>
    <w:p>
      <w:pPr>
        <w:pStyle w:val="Normal"/>
        <w:widowControl w:val="false"/>
        <w:bidi w:val="0"/>
        <w:spacing w:before="120" w:after="0"/>
        <w:ind w:left="0" w:right="0" w:firstLine="708"/>
        <w:rPr>
          <w:rFonts w:ascii="Times New Roman" w:hAnsi="Times New Roman"/>
        </w:rPr>
      </w:pPr>
      <w:r>
        <w:rPr/>
      </w:r>
    </w:p>
    <w:p>
      <w:pPr>
        <w:pStyle w:val="Normal"/>
        <w:widowControl w:val="false"/>
        <w:bidi w:val="0"/>
        <w:spacing w:before="120" w:after="0"/>
        <w:ind w:left="0" w:right="0" w:firstLine="708"/>
        <w:rPr>
          <w:rFonts w:ascii="Times New Roman" w:hAnsi="Times New Roman"/>
        </w:rPr>
      </w:pPr>
      <w:r>
        <w:rPr/>
      </w:r>
    </w:p>
    <w:p>
      <w:pPr>
        <w:pStyle w:val="Normal"/>
        <w:widowControl w:val="false"/>
        <w:bidi w:val="0"/>
        <w:spacing w:before="120" w:after="0"/>
        <w:ind w:left="0" w:right="0" w:firstLine="708"/>
        <w:rPr/>
      </w:pPr>
      <w:r>
        <w:rPr/>
        <w:t>Способ приватизации муниципального имущества: аукцион в электронной форме.</w:t>
      </w:r>
    </w:p>
    <w:p>
      <w:pPr>
        <w:pStyle w:val="Normal"/>
        <w:widowControl w:val="false"/>
        <w:bidi w:val="0"/>
        <w:spacing w:before="120" w:after="0"/>
        <w:ind w:left="0" w:right="0" w:firstLine="708"/>
        <w:rPr/>
      </w:pPr>
      <w:r>
        <w:rPr/>
        <w:t>Сроки, время подачи заявок, проведения электронной продажи, подведения итогов продажи муниципального имущества:</w:t>
      </w:r>
    </w:p>
    <w:p>
      <w:pPr>
        <w:pStyle w:val="Normal"/>
        <w:bidi w:val="0"/>
        <w:ind w:left="0" w:right="0" w:hanging="0"/>
        <w:jc w:val="left"/>
        <w:rPr>
          <w:rFonts w:ascii="Times New Roman" w:hAnsi="Times New Roman"/>
        </w:rPr>
      </w:pPr>
      <w:r>
        <w:rPr/>
      </w:r>
    </w:p>
    <w:p>
      <w:pPr>
        <w:pStyle w:val="Normal"/>
        <w:bidi w:val="0"/>
        <w:ind w:left="0" w:right="0" w:firstLine="708"/>
        <w:rPr/>
      </w:pPr>
      <w:r>
        <w:rPr/>
        <w:t xml:space="preserve">При исчислении сроков, указанных в настоящем информационном сообщении, принимается </w:t>
      </w:r>
      <w:r>
        <w:rPr>
          <w:b/>
        </w:rPr>
        <w:t>время сервера электронной торговой площадки – московское</w:t>
      </w:r>
      <w:r>
        <w:rPr/>
        <w:t xml:space="preserve">. </w:t>
      </w:r>
    </w:p>
    <w:p>
      <w:pPr>
        <w:pStyle w:val="Normal"/>
        <w:bidi w:val="0"/>
        <w:ind w:left="0" w:right="0" w:hanging="0"/>
        <w:jc w:val="left"/>
        <w:rPr>
          <w:rFonts w:ascii="Times New Roman" w:hAnsi="Times New Roman"/>
        </w:rPr>
      </w:pPr>
      <w:r>
        <w:rPr/>
      </w:r>
    </w:p>
    <w:p>
      <w:pPr>
        <w:pStyle w:val="Normal"/>
        <w:bidi w:val="0"/>
        <w:ind w:left="0" w:right="0" w:firstLine="708"/>
        <w:jc w:val="left"/>
        <w:rPr/>
      </w:pPr>
      <w:r>
        <w:rPr>
          <w:u w:val="single"/>
        </w:rPr>
        <w:t>Дата начала приема заявок на участие в аукционе</w:t>
      </w:r>
      <w:r>
        <w:rPr/>
        <w:t xml:space="preserve"> – </w:t>
      </w:r>
      <w:r>
        <w:rPr>
          <w:highlight w:val="yellow"/>
        </w:rPr>
        <w:t>с 07.00 час. 17.06.2022г</w:t>
      </w:r>
      <w:r>
        <w:rPr/>
        <w:t xml:space="preserve">. </w:t>
      </w:r>
    </w:p>
    <w:p>
      <w:pPr>
        <w:pStyle w:val="Normal"/>
        <w:bidi w:val="0"/>
        <w:ind w:left="0" w:right="0" w:hanging="0"/>
        <w:jc w:val="left"/>
        <w:rPr>
          <w:rFonts w:ascii="Times New Roman" w:hAnsi="Times New Roman"/>
          <w:highlight w:val="yellow"/>
        </w:rPr>
      </w:pPr>
      <w:r>
        <w:rPr>
          <w:highlight w:val="yellow"/>
        </w:rPr>
      </w:r>
    </w:p>
    <w:p>
      <w:pPr>
        <w:pStyle w:val="Normal"/>
        <w:bidi w:val="0"/>
        <w:ind w:left="0" w:right="0" w:firstLine="708"/>
        <w:jc w:val="left"/>
        <w:rPr/>
      </w:pPr>
      <w:r>
        <w:rPr>
          <w:u w:val="single"/>
        </w:rPr>
        <w:t>Дата окончания приема заявок на участие в аукционе</w:t>
      </w:r>
      <w:r>
        <w:rPr/>
        <w:t xml:space="preserve"> – </w:t>
      </w:r>
      <w:r>
        <w:rPr>
          <w:highlight w:val="yellow"/>
        </w:rPr>
        <w:t>в 15.00 час. 13.07.2022г.</w:t>
      </w:r>
      <w:r>
        <w:rPr/>
        <w:t xml:space="preserve"> </w:t>
      </w:r>
    </w:p>
    <w:p>
      <w:pPr>
        <w:pStyle w:val="Normal"/>
        <w:bidi w:val="0"/>
        <w:ind w:left="0" w:right="0" w:hanging="0"/>
        <w:jc w:val="left"/>
        <w:rPr>
          <w:rFonts w:ascii="Times New Roman" w:hAnsi="Times New Roman"/>
          <w:highlight w:val="yellow"/>
        </w:rPr>
      </w:pPr>
      <w:r>
        <w:rPr>
          <w:highlight w:val="yellow"/>
        </w:rPr>
      </w:r>
    </w:p>
    <w:p>
      <w:pPr>
        <w:pStyle w:val="Normal"/>
        <w:bidi w:val="0"/>
        <w:ind w:left="0" w:right="0" w:firstLine="708"/>
        <w:jc w:val="left"/>
        <w:rPr/>
      </w:pPr>
      <w:r>
        <w:rPr>
          <w:u w:val="single"/>
        </w:rPr>
        <w:t>Дата определения участников торгов</w:t>
      </w:r>
      <w:r>
        <w:rPr/>
        <w:t xml:space="preserve"> – </w:t>
      </w:r>
      <w:r>
        <w:rPr>
          <w:highlight w:val="yellow"/>
        </w:rPr>
        <w:t>14.07.2022г.</w:t>
      </w:r>
      <w:r>
        <w:rPr/>
        <w:t xml:space="preserve"> </w:t>
      </w:r>
    </w:p>
    <w:p>
      <w:pPr>
        <w:pStyle w:val="Normal"/>
        <w:bidi w:val="0"/>
        <w:ind w:left="0" w:right="0" w:hanging="0"/>
        <w:jc w:val="left"/>
        <w:rPr>
          <w:rFonts w:ascii="Times New Roman" w:hAnsi="Times New Roman"/>
        </w:rPr>
      </w:pPr>
      <w:r>
        <w:rPr/>
      </w:r>
    </w:p>
    <w:p>
      <w:pPr>
        <w:pStyle w:val="Normal"/>
        <w:bidi w:val="0"/>
        <w:ind w:left="0" w:right="0" w:firstLine="708"/>
        <w:rPr/>
      </w:pPr>
      <w:r>
        <w:rPr>
          <w:u w:val="single"/>
        </w:rPr>
        <w:t>Электронный аукцион состоится</w:t>
      </w:r>
      <w:r>
        <w:rPr/>
        <w:t xml:space="preserve"> (дата и время начала приема предложений от участников аукциона) –</w:t>
      </w:r>
      <w:r>
        <w:rPr>
          <w:highlight w:val="yellow"/>
        </w:rPr>
        <w:t>18.07.2022г. в 08.00 час.</w:t>
      </w:r>
      <w:r>
        <w:rPr/>
        <w:t xml:space="preserve"> </w:t>
      </w:r>
    </w:p>
    <w:p>
      <w:pPr>
        <w:pStyle w:val="Normal"/>
        <w:bidi w:val="0"/>
        <w:ind w:left="0" w:right="0" w:hanging="0"/>
        <w:rPr>
          <w:rFonts w:ascii="Times New Roman" w:hAnsi="Times New Roman"/>
          <w:highlight w:val="yellow"/>
        </w:rPr>
      </w:pPr>
      <w:r>
        <w:rPr>
          <w:highlight w:val="yellow"/>
        </w:rPr>
      </w:r>
    </w:p>
    <w:p>
      <w:pPr>
        <w:pStyle w:val="Normal"/>
        <w:bidi w:val="0"/>
        <w:ind w:left="0" w:right="0" w:firstLine="708"/>
        <w:rPr/>
      </w:pPr>
      <w:r>
        <w:rPr>
          <w:u w:val="single"/>
        </w:rPr>
        <w:t>Срок (дата и время) подведения итогов продажи</w:t>
      </w:r>
      <w:r>
        <w:rPr/>
        <w:t xml:space="preserve">: итоги аукциона будут подведены </w:t>
      </w:r>
      <w:r>
        <w:rPr>
          <w:highlight w:val="yellow"/>
        </w:rPr>
        <w:t>18.07.2022г.</w:t>
      </w:r>
      <w:r>
        <w:rPr/>
        <w:t xml:space="preserve"> по окончании аукциона. </w:t>
      </w:r>
    </w:p>
    <w:p>
      <w:pPr>
        <w:pStyle w:val="Normal"/>
        <w:bidi w:val="0"/>
        <w:ind w:left="0" w:right="0" w:hanging="0"/>
        <w:rPr>
          <w:rFonts w:ascii="Times New Roman" w:hAnsi="Times New Roman"/>
          <w:highlight w:val="yellow"/>
        </w:rPr>
      </w:pPr>
      <w:r>
        <w:rPr>
          <w:highlight w:val="yellow"/>
        </w:rPr>
      </w:r>
    </w:p>
    <w:p>
      <w:pPr>
        <w:pStyle w:val="Normal"/>
        <w:bidi w:val="0"/>
        <w:ind w:left="0" w:right="0" w:firstLine="708"/>
        <w:rPr/>
      </w:pPr>
      <w:r>
        <w:rPr/>
        <w:t xml:space="preserve">Организатор торгов оставляет за собой право отменить проведение аукциона в любое время, но не позднее, чем за три дня до даты проведения аукциона. </w:t>
      </w:r>
    </w:p>
    <w:p>
      <w:pPr>
        <w:pStyle w:val="Normal"/>
        <w:bidi w:val="0"/>
        <w:ind w:left="0" w:right="0" w:firstLine="708"/>
        <w:rPr/>
      </w:pPr>
      <w:r>
        <w:rPr/>
        <w:t>Место проведения электронного аукциона: электронная площадка – универсальная торговая платформа АО «Сбербанк-АСТ», размещенная на сайте http://utp.sberbank-ast.ru в сети Интернет (торговая секция «Приватизация, аренда и продажа прав»).</w:t>
      </w:r>
    </w:p>
    <w:p>
      <w:pPr>
        <w:pStyle w:val="Normal"/>
        <w:bidi w:val="0"/>
        <w:ind w:left="0" w:right="0" w:firstLine="708"/>
        <w:rPr>
          <w:rFonts w:ascii="Times New Roman" w:hAnsi="Times New Roman"/>
          <w:b/>
          <w:b/>
        </w:rPr>
      </w:pPr>
      <w:r>
        <w:rPr>
          <w:b/>
        </w:rPr>
      </w:r>
    </w:p>
    <w:p>
      <w:pPr>
        <w:pStyle w:val="Normal"/>
        <w:bidi w:val="0"/>
        <w:ind w:left="0" w:right="0" w:firstLine="708"/>
        <w:jc w:val="center"/>
        <w:rPr/>
      </w:pPr>
      <w:r>
        <w:rPr>
          <w:b/>
        </w:rPr>
        <w:t>2. Порядок регистрации на электронной площадке, подачи заявки на участие в аукционе в электронной форме, размер, срок и порядок внесения задатка, порядок возврата задатка.</w:t>
      </w:r>
    </w:p>
    <w:p>
      <w:pPr>
        <w:pStyle w:val="Normal"/>
        <w:bidi w:val="0"/>
        <w:ind w:left="0" w:right="0" w:hanging="0"/>
        <w:jc w:val="left"/>
        <w:rPr>
          <w:rFonts w:ascii="Times New Roman" w:hAnsi="Times New Roman"/>
          <w:b/>
          <w:b/>
        </w:rPr>
      </w:pPr>
      <w:r>
        <w:rPr>
          <w:b/>
        </w:rPr>
      </w:r>
    </w:p>
    <w:p>
      <w:pPr>
        <w:pStyle w:val="Normal"/>
        <w:bidi w:val="0"/>
        <w:ind w:left="0" w:right="0" w:firstLine="708"/>
        <w:rPr/>
      </w:pPr>
      <w:r>
        <w:rPr/>
        <w:t xml:space="preserve">Для обеспечения доступа к участию в электронном аукционе Претендентам необходимо пройти процедуру регистрации на электронной площадке. </w:t>
      </w:r>
    </w:p>
    <w:p>
      <w:pPr>
        <w:pStyle w:val="Normal"/>
        <w:bidi w:val="0"/>
        <w:ind w:left="0" w:right="0" w:hanging="0"/>
        <w:rPr>
          <w:rFonts w:ascii="Times New Roman" w:hAnsi="Times New Roman"/>
        </w:rPr>
      </w:pPr>
      <w:r>
        <w:rPr/>
      </w:r>
    </w:p>
    <w:p>
      <w:pPr>
        <w:pStyle w:val="Normal"/>
        <w:bidi w:val="0"/>
        <w:ind w:left="0" w:right="0" w:firstLine="708"/>
        <w:rPr/>
      </w:pPr>
      <w:r>
        <w:rPr/>
        <w:t xml:space="preserve">Регистрация на электронной площадке проводится в соответствии с Регламентом электронной площадки без взимания платы. </w:t>
      </w:r>
    </w:p>
    <w:p>
      <w:pPr>
        <w:pStyle w:val="Normal"/>
        <w:bidi w:val="0"/>
        <w:ind w:left="0" w:right="0" w:firstLine="708"/>
        <w:rPr/>
      </w:pPr>
      <w:r>
        <w:rPr/>
        <w:t xml:space="preserve">Подача заявки на участие осуществляется только посредством интерфейса универсальной торговой платформы АО «Сбербанк-АСТ» торговой секции «Приватизация, аренда и продажа прав» из личного кабинета претендента (образец заявки приведен в Приложении № 1 к настоящему информационному сообщению). </w:t>
      </w:r>
    </w:p>
    <w:p>
      <w:pPr>
        <w:pStyle w:val="Normal"/>
        <w:bidi w:val="0"/>
        <w:ind w:left="0" w:right="0" w:firstLine="708"/>
        <w:rPr/>
      </w:pPr>
      <w:r>
        <w:rPr/>
        <w:t>Инструкция для участника торгов по работе в торговой секции «Приватизация, аренда и продажа прав» универсальной торговой платформы АО «Сбербанк-АСТ» размещена по адресу: http://utp.sberbank-ast.ru/AP/Notice/652/Instructions</w:t>
      </w:r>
      <w:r>
        <w:rPr>
          <w:b/>
        </w:rPr>
        <w:t>.</w:t>
      </w:r>
    </w:p>
    <w:p>
      <w:pPr>
        <w:pStyle w:val="Normal"/>
        <w:bidi w:val="0"/>
        <w:ind w:left="0" w:right="0" w:firstLine="708"/>
        <w:rPr/>
      </w:pPr>
      <w:r>
        <w:rPr/>
        <w:t>После заполнения формы подачи заявки, заявку необходимо подписать</w:t>
      </w:r>
      <w:r>
        <w:rPr>
          <w:b/>
        </w:rPr>
        <w:t xml:space="preserve"> </w:t>
      </w:r>
      <w:r>
        <w:rPr/>
        <w:t xml:space="preserve">электронной подписью. Получить сертификаты электронной подписи можно в Авторизованных удостоверяющих центрах. С полным списком авторизованных удостоверяющих центров можно ознакомиться на электронной площадке по адресу: http://www.sberbank-ast.ru/CAList.aspx. </w:t>
      </w:r>
    </w:p>
    <w:p>
      <w:pPr>
        <w:pStyle w:val="Normal"/>
        <w:bidi w:val="0"/>
        <w:ind w:left="0" w:right="0" w:hanging="0"/>
        <w:rPr>
          <w:rFonts w:ascii="Times New Roman" w:hAnsi="Times New Roman"/>
        </w:rPr>
      </w:pPr>
      <w:r>
        <w:rPr/>
      </w:r>
    </w:p>
    <w:p>
      <w:pPr>
        <w:pStyle w:val="Normal"/>
        <w:bidi w:val="0"/>
        <w:ind w:left="0" w:right="0" w:firstLine="708"/>
        <w:rPr/>
      </w:pPr>
      <w:r>
        <w:rPr/>
        <w:t xml:space="preserve">Заявка подается путем заполнения ее электронной формы с приложением электронных образов необходимых документов (заявка на участие в электронном аукционе и приложения к ней на бумажном носителе, преобразованные в электронно-цифровую форму путем сканирования с сохранением их реквизитов), заверенных электронной подписью претендента либо лица, имеющего право действовать от имени претендента: </w:t>
      </w:r>
    </w:p>
    <w:p>
      <w:pPr>
        <w:pStyle w:val="Normal"/>
        <w:bidi w:val="0"/>
        <w:ind w:left="0" w:right="0" w:hanging="0"/>
        <w:jc w:val="left"/>
        <w:rPr>
          <w:rFonts w:ascii="Times New Roman" w:hAnsi="Times New Roman"/>
        </w:rPr>
      </w:pPr>
      <w:r>
        <w:rPr/>
      </w:r>
    </w:p>
    <w:p>
      <w:pPr>
        <w:pStyle w:val="Normal"/>
        <w:bidi w:val="0"/>
        <w:spacing w:lineRule="atLeast" w:line="240"/>
        <w:ind w:left="0" w:right="0" w:firstLine="708"/>
        <w:jc w:val="left"/>
        <w:rPr/>
      </w:pPr>
      <w:r>
        <w:rPr>
          <w:u w:val="single"/>
        </w:rPr>
        <w:t xml:space="preserve">физические лица: </w:t>
      </w:r>
    </w:p>
    <w:p>
      <w:pPr>
        <w:pStyle w:val="Normal"/>
        <w:bidi w:val="0"/>
        <w:spacing w:lineRule="atLeast" w:line="240"/>
        <w:ind w:left="0" w:right="0" w:hanging="0"/>
        <w:jc w:val="left"/>
        <w:rPr/>
      </w:pPr>
      <w:r>
        <w:rPr/>
        <w:t xml:space="preserve">- копию </w:t>
      </w:r>
      <w:r>
        <w:rPr>
          <w:b/>
          <w:u w:val="single"/>
        </w:rPr>
        <w:t>всех (!) листов документа, удостоверяющего личность</w:t>
      </w:r>
      <w:r>
        <w:rPr/>
        <w:t xml:space="preserve">; </w:t>
      </w:r>
    </w:p>
    <w:p>
      <w:pPr>
        <w:pStyle w:val="Normal"/>
        <w:bidi w:val="0"/>
        <w:spacing w:lineRule="atLeast" w:line="240"/>
        <w:ind w:left="0" w:right="0" w:hanging="0"/>
        <w:jc w:val="left"/>
        <w:rPr>
          <w:rFonts w:ascii="Times New Roman" w:hAnsi="Times New Roman"/>
          <w:b/>
          <w:b/>
        </w:rPr>
      </w:pPr>
      <w:r>
        <w:rPr>
          <w:b/>
        </w:rPr>
      </w:r>
    </w:p>
    <w:p>
      <w:pPr>
        <w:pStyle w:val="Normal"/>
        <w:bidi w:val="0"/>
        <w:spacing w:lineRule="atLeast" w:line="240"/>
        <w:ind w:left="0" w:right="0" w:firstLine="708"/>
        <w:jc w:val="left"/>
        <w:rPr/>
      </w:pPr>
      <w:r>
        <w:rPr>
          <w:u w:val="single"/>
        </w:rPr>
        <w:t xml:space="preserve">юридические лица: </w:t>
      </w:r>
    </w:p>
    <w:p>
      <w:pPr>
        <w:pStyle w:val="Normal"/>
        <w:bidi w:val="0"/>
        <w:spacing w:lineRule="atLeast" w:line="240"/>
        <w:ind w:left="0" w:right="0" w:hanging="0"/>
        <w:rPr/>
      </w:pPr>
      <w:r>
        <w:rPr/>
        <w:t xml:space="preserve">- копии учредительных документов; </w:t>
      </w:r>
    </w:p>
    <w:p>
      <w:pPr>
        <w:pStyle w:val="Normal"/>
        <w:bidi w:val="0"/>
        <w:ind w:left="0" w:right="0" w:hanging="0"/>
        <w:rPr/>
      </w:pPr>
      <w:r>
        <w:rPr/>
        <w:t>- документ, подтверждающий отсутствие или наличие в уставном капитале юридического лица доли Российской Федерации, субъекта Российской Федерации или муниципального образования (реестр владельцев акций либо выписка из него или заверенное печатью (в случае наличия) юридического лица и подписанное его руководителем письмо);</w:t>
      </w:r>
      <w:r>
        <w:rPr>
          <w:b/>
        </w:rPr>
        <w:t xml:space="preserve"> </w:t>
      </w:r>
    </w:p>
    <w:p>
      <w:pPr>
        <w:pStyle w:val="Normal"/>
        <w:bidi w:val="0"/>
        <w:ind w:left="0" w:right="0" w:hanging="0"/>
        <w:rPr/>
      </w:pPr>
      <w:r>
        <w:rPr/>
        <w:t xml:space="preserve">- документ, который подтверждает полномочия руководителя юридического лица на осуществление действий от имени юридического лица (заверенная печатью (в случае наличия) организации 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доверенности. </w:t>
      </w:r>
    </w:p>
    <w:p>
      <w:pPr>
        <w:pStyle w:val="Normal"/>
        <w:bidi w:val="0"/>
        <w:ind w:left="0" w:right="0" w:hanging="0"/>
        <w:rPr>
          <w:rFonts w:ascii="Times New Roman" w:hAnsi="Times New Roman"/>
        </w:rPr>
      </w:pPr>
      <w:r>
        <w:rPr/>
      </w:r>
    </w:p>
    <w:p>
      <w:pPr>
        <w:pStyle w:val="Normal"/>
        <w:bidi w:val="0"/>
        <w:ind w:left="0" w:right="0" w:firstLine="708"/>
        <w:rPr/>
      </w:pPr>
      <w:r>
        <w:rPr/>
        <w:t xml:space="preserve">В случае,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 </w:t>
      </w:r>
    </w:p>
    <w:p>
      <w:pPr>
        <w:pStyle w:val="Normal"/>
        <w:bidi w:val="0"/>
        <w:ind w:left="0" w:right="0" w:firstLine="708"/>
        <w:rPr>
          <w:rFonts w:ascii="Times New Roman" w:hAnsi="Times New Roman"/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bidi w:val="0"/>
        <w:ind w:left="0" w:right="0" w:firstLine="708"/>
        <w:rPr/>
      </w:pPr>
      <w:r>
        <w:rPr>
          <w:b/>
          <w:u w:val="single"/>
        </w:rPr>
        <w:t>К данным документам прилагается опись</w:t>
      </w:r>
      <w:r>
        <w:rPr/>
        <w:t xml:space="preserve"> (Приложение № 2 к информационному сообщению). </w:t>
      </w:r>
    </w:p>
    <w:p>
      <w:pPr>
        <w:pStyle w:val="Normal"/>
        <w:bidi w:val="0"/>
        <w:ind w:left="0" w:right="0" w:hanging="0"/>
        <w:rPr>
          <w:rFonts w:ascii="Times New Roman" w:hAnsi="Times New Roman"/>
          <w:b/>
          <w:b/>
        </w:rPr>
      </w:pPr>
      <w:r>
        <w:rPr>
          <w:b/>
        </w:rPr>
      </w:r>
    </w:p>
    <w:p>
      <w:pPr>
        <w:pStyle w:val="BodyText2"/>
        <w:bidi w:val="0"/>
        <w:spacing w:before="0" w:after="0"/>
        <w:ind w:left="0" w:right="0" w:firstLine="709"/>
        <w:jc w:val="both"/>
        <w:rPr/>
      </w:pPr>
      <w:r>
        <w:rPr>
          <w:b w:val="false"/>
          <w:sz w:val="24"/>
          <w:szCs w:val="24"/>
          <w:lang w:eastAsia="en-US"/>
        </w:rPr>
        <w:t>Все подаваемые Претендентом документы не должны иметь неоговоренных исправлений. Все исправления должны быть надлежащим образом заверены. Печати и подписи, а также реквизиты и текст оригиналов и копий документов должны быть четкими и читаемыми. Подписи на оригиналах и копиях документов должны быть расшифрованы (указывается должность, фамилия и инициалы подписавшегося лица).</w:t>
      </w:r>
    </w:p>
    <w:p>
      <w:pPr>
        <w:pStyle w:val="Normal"/>
        <w:bidi w:val="0"/>
        <w:ind w:left="0" w:right="0" w:firstLine="709"/>
        <w:rPr>
          <w:rFonts w:ascii="Times New Roman" w:hAnsi="Times New Roman"/>
        </w:rPr>
      </w:pPr>
      <w:r>
        <w:rPr/>
      </w:r>
    </w:p>
    <w:p>
      <w:pPr>
        <w:pStyle w:val="Normal"/>
        <w:bidi w:val="0"/>
        <w:ind w:left="0" w:right="0" w:firstLine="709"/>
        <w:rPr/>
      </w:pPr>
      <w:r>
        <w:rPr/>
        <w:t>Одно лицо имеет право подать только одну заявку на один объект приватизации.</w:t>
      </w:r>
    </w:p>
    <w:p>
      <w:pPr>
        <w:pStyle w:val="Normal"/>
        <w:bidi w:val="0"/>
        <w:ind w:left="0" w:right="0" w:firstLine="708"/>
        <w:rPr>
          <w:rFonts w:ascii="Times New Roman" w:hAnsi="Times New Roman"/>
        </w:rPr>
      </w:pPr>
      <w:r>
        <w:rPr/>
      </w:r>
    </w:p>
    <w:p>
      <w:pPr>
        <w:pStyle w:val="Normal"/>
        <w:bidi w:val="0"/>
        <w:ind w:left="0" w:right="0" w:firstLine="708"/>
        <w:rPr/>
      </w:pPr>
      <w:r>
        <w:rPr/>
        <w:t xml:space="preserve">Заявки подаются на электронную площадку, начиная с даты начала приема заявок до времени и даты окончания приема заявок, указанных в информационном сообщении. </w:t>
      </w:r>
    </w:p>
    <w:p>
      <w:pPr>
        <w:pStyle w:val="Normal"/>
        <w:bidi w:val="0"/>
        <w:ind w:left="0" w:right="0" w:hanging="0"/>
        <w:jc w:val="left"/>
        <w:rPr>
          <w:rFonts w:ascii="Times New Roman" w:hAnsi="Times New Roman"/>
        </w:rPr>
      </w:pPr>
      <w:r>
        <w:rPr/>
      </w:r>
    </w:p>
    <w:p>
      <w:pPr>
        <w:pStyle w:val="Normal"/>
        <w:bidi w:val="0"/>
        <w:ind w:left="0" w:right="0" w:firstLine="708"/>
        <w:rPr/>
      </w:pPr>
      <w:r>
        <w:rPr/>
        <w:t xml:space="preserve">Заявки с прилагаемыми к ним документами, поданные с нарушением установленного срока, а также заявки с незаполненными полями (являющимися обязательными для заполнения), на электронной площадке не регистрируются программными средствами. В случае, если система не принимает заявку, Оператор электронной площадки уведомляет Претендента соответствующим системным сообщением о причине непринятия заявки. </w:t>
      </w:r>
    </w:p>
    <w:p>
      <w:pPr>
        <w:pStyle w:val="Normal"/>
        <w:bidi w:val="0"/>
        <w:ind w:left="0" w:right="0" w:hanging="0"/>
        <w:jc w:val="left"/>
        <w:rPr>
          <w:rFonts w:ascii="Times New Roman" w:hAnsi="Times New Roman"/>
        </w:rPr>
      </w:pPr>
      <w:r>
        <w:rPr/>
      </w:r>
    </w:p>
    <w:p>
      <w:pPr>
        <w:pStyle w:val="Normal"/>
        <w:bidi w:val="0"/>
        <w:ind w:left="0" w:right="0" w:firstLine="708"/>
        <w:rPr/>
      </w:pPr>
      <w:r>
        <w:rPr/>
        <w:t xml:space="preserve">В случае успешного принятия заявки Оператор электронной площадки в течение одного часа со времени поступления заявки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 </w:t>
      </w:r>
    </w:p>
    <w:p>
      <w:pPr>
        <w:pStyle w:val="Normal"/>
        <w:bidi w:val="0"/>
        <w:ind w:left="0" w:right="0" w:hanging="0"/>
        <w:jc w:val="left"/>
        <w:rPr>
          <w:rFonts w:ascii="Times New Roman" w:hAnsi="Times New Roman"/>
        </w:rPr>
      </w:pPr>
      <w:r>
        <w:rPr/>
      </w:r>
    </w:p>
    <w:p>
      <w:pPr>
        <w:pStyle w:val="Normal"/>
        <w:bidi w:val="0"/>
        <w:ind w:left="0" w:right="0" w:firstLine="708"/>
        <w:rPr/>
      </w:pPr>
      <w:r>
        <w:rPr/>
        <w:t xml:space="preserve">При приеме заявок от Претендентов Оператор электронной площадки обеспечивает конфиденциальность данных о Претендентах и участниках. </w:t>
      </w:r>
    </w:p>
    <w:p>
      <w:pPr>
        <w:pStyle w:val="Normal"/>
        <w:bidi w:val="0"/>
        <w:ind w:left="0" w:right="0" w:hanging="0"/>
        <w:rPr>
          <w:rFonts w:ascii="Times New Roman" w:hAnsi="Times New Roman"/>
        </w:rPr>
      </w:pPr>
      <w:r>
        <w:rPr/>
      </w:r>
    </w:p>
    <w:p>
      <w:pPr>
        <w:pStyle w:val="Normal"/>
        <w:bidi w:val="0"/>
        <w:ind w:left="0" w:right="0" w:firstLine="708"/>
        <w:rPr/>
      </w:pPr>
      <w:r>
        <w:rPr/>
        <w:t>До признания претендента участником аукциона он имеет право отозвать зарегистрированную заявку. 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позднее чем пять дней со дня поступления уведомления об отзыве заявки. В случае отзыва претендентом заявки позднее даты окончания приема заявок задаток возвращается в порядке, установленном для участников аукциона.</w:t>
      </w:r>
    </w:p>
    <w:p>
      <w:pPr>
        <w:pStyle w:val="Normal"/>
        <w:bidi w:val="0"/>
        <w:ind w:left="0" w:right="0" w:hanging="0"/>
        <w:jc w:val="left"/>
        <w:rPr>
          <w:rFonts w:ascii="Times New Roman" w:hAnsi="Times New Roman"/>
        </w:rPr>
      </w:pPr>
      <w:r>
        <w:rPr/>
      </w:r>
    </w:p>
    <w:p>
      <w:pPr>
        <w:pStyle w:val="Normal"/>
        <w:bidi w:val="0"/>
        <w:ind w:left="0" w:right="0" w:firstLine="708"/>
        <w:rPr/>
      </w:pPr>
      <w:r>
        <w:rPr/>
        <w:t xml:space="preserve">Изменение заявки допускается только путем подачи Претендентом новой заявки в установленные в информационном сообщении сроки о проведении аукциона, при этом первоначальная заявка должна быть отозвана. </w:t>
      </w:r>
    </w:p>
    <w:p>
      <w:pPr>
        <w:pStyle w:val="Normal"/>
        <w:bidi w:val="0"/>
        <w:ind w:left="0" w:right="0" w:hanging="0"/>
        <w:rPr>
          <w:rFonts w:ascii="Times New Roman" w:hAnsi="Times New Roman"/>
        </w:rPr>
      </w:pPr>
      <w:r>
        <w:rPr/>
      </w:r>
    </w:p>
    <w:p>
      <w:pPr>
        <w:pStyle w:val="Normal"/>
        <w:bidi w:val="0"/>
        <w:ind w:left="0" w:right="0" w:firstLine="708"/>
        <w:rPr/>
      </w:pPr>
      <w:r>
        <w:rPr/>
        <w:t xml:space="preserve">Наличие электронной подписи означает, что документы и сведения, поданные в форме электронных документов, направлены от имени претендента и отправитель несет ответственность за подлинность и достоверность таких документов и сведений. </w:t>
      </w:r>
    </w:p>
    <w:p>
      <w:pPr>
        <w:pStyle w:val="Normal"/>
        <w:bidi w:val="0"/>
        <w:ind w:left="0" w:right="0" w:firstLine="708"/>
        <w:rPr>
          <w:rFonts w:ascii="Times New Roman" w:hAnsi="Times New Roman"/>
        </w:rPr>
      </w:pPr>
      <w:r>
        <w:rPr/>
      </w:r>
    </w:p>
    <w:p>
      <w:pPr>
        <w:pStyle w:val="Normal"/>
        <w:bidi w:val="0"/>
        <w:ind w:left="0" w:right="0" w:firstLine="708"/>
        <w:rPr/>
      </w:pPr>
      <w:r>
        <w:rPr/>
        <w:t xml:space="preserve">Для участия в аукционе претендент вносит задаток в размере 20 процентов начальной цены, указанной в пункте 1. </w:t>
      </w:r>
    </w:p>
    <w:p>
      <w:pPr>
        <w:pStyle w:val="12"/>
        <w:widowControl w:val="false"/>
        <w:bidi w:val="0"/>
        <w:ind w:left="0" w:right="0" w:firstLine="567"/>
        <w:jc w:val="both"/>
        <w:rPr>
          <w:rFonts w:ascii="Times New Roman" w:hAnsi="Times New Roman"/>
          <w:sz w:val="26"/>
          <w:szCs w:val="26"/>
          <w:highlight w:val="yellow"/>
        </w:rPr>
      </w:pPr>
      <w:r>
        <w:rPr>
          <w:sz w:val="26"/>
          <w:szCs w:val="26"/>
          <w:highlight w:val="yellow"/>
        </w:rPr>
      </w:r>
    </w:p>
    <w:p>
      <w:pPr>
        <w:pStyle w:val="12"/>
        <w:widowControl w:val="false"/>
        <w:bidi w:val="0"/>
        <w:ind w:left="0" w:right="0" w:firstLine="567"/>
        <w:jc w:val="both"/>
        <w:rPr/>
      </w:pPr>
      <w:r>
        <w:rPr>
          <w:sz w:val="24"/>
          <w:szCs w:val="24"/>
          <w:lang w:eastAsia="en-US"/>
        </w:rPr>
        <w:t>Срок внесения задатка определяется в соответствии с регламентом оператора электронной площадки.</w:t>
      </w:r>
    </w:p>
    <w:p>
      <w:pPr>
        <w:pStyle w:val="12"/>
        <w:widowControl w:val="false"/>
        <w:bidi w:val="0"/>
        <w:ind w:left="0" w:right="0" w:firstLine="567"/>
        <w:jc w:val="both"/>
        <w:rPr/>
      </w:pPr>
      <w:r>
        <w:rPr>
          <w:sz w:val="24"/>
          <w:szCs w:val="24"/>
          <w:lang w:eastAsia="en-US"/>
        </w:rPr>
        <w:t>Задаток перечисляется на счет оператора электронной площадки АО "Сбербанк-АСТ".</w:t>
      </w:r>
    </w:p>
    <w:p>
      <w:pPr>
        <w:pStyle w:val="Normal"/>
        <w:numPr>
          <w:ilvl w:val="0"/>
          <w:numId w:val="0"/>
        </w:numPr>
        <w:bidi w:val="0"/>
        <w:ind w:left="0" w:right="0" w:firstLine="567"/>
        <w:outlineLvl w:val="0"/>
        <w:rPr>
          <w:rFonts w:ascii="Times New Roman" w:hAnsi="Times New Roman"/>
        </w:rPr>
      </w:pPr>
      <w:r>
        <w:rPr/>
      </w:r>
    </w:p>
    <w:p>
      <w:pPr>
        <w:pStyle w:val="Normal"/>
        <w:numPr>
          <w:ilvl w:val="0"/>
          <w:numId w:val="0"/>
        </w:numPr>
        <w:bidi w:val="0"/>
        <w:ind w:left="0" w:right="0" w:firstLine="567"/>
        <w:outlineLvl w:val="0"/>
        <w:rPr/>
      </w:pPr>
      <w:r>
        <w:rPr/>
        <w:t xml:space="preserve">Оператор электронной площадки проверяет наличие достаточной суммы </w:t>
      </w:r>
      <w:r>
        <w:rPr/>
        <w:br/>
      </w:r>
      <w:r>
        <w:rPr/>
        <w:t>в размере задатка на лицевом счете Претендента и осуществляет блокирование необходимой суммы. Если денежных средств на лицевом счете Претендента недостаточно для произведения операции блокирования, то Претенденту для обеспечения своевременного поступления денежных средств необходимо учитывать, что поступившие в банк за предыдущий день платежи разносятся на лицевые счета в сроки, установленные Регламентом электронной площадки.</w:t>
      </w:r>
    </w:p>
    <w:p>
      <w:pPr>
        <w:pStyle w:val="Normal"/>
        <w:bidi w:val="0"/>
        <w:ind w:left="0" w:right="0" w:hanging="0"/>
        <w:jc w:val="left"/>
        <w:rPr>
          <w:rFonts w:ascii="Times New Roman" w:hAnsi="Times New Roman"/>
        </w:rPr>
      </w:pPr>
      <w:r>
        <w:rPr/>
      </w:r>
    </w:p>
    <w:p>
      <w:pPr>
        <w:pStyle w:val="Normal"/>
        <w:bidi w:val="0"/>
        <w:ind w:left="0" w:right="0" w:firstLine="708"/>
        <w:rPr/>
      </w:pPr>
      <w:r>
        <w:rPr/>
        <w:t xml:space="preserve">Если денежных средств на лицевом счете Претендента недостаточно для осуществления операции блокирования, то в день определения участников Организатору торгов направляется информация о не поступлении Оператору задатка от такого Претендента. </w:t>
      </w:r>
    </w:p>
    <w:p>
      <w:pPr>
        <w:pStyle w:val="Normal"/>
        <w:bidi w:val="0"/>
        <w:ind w:left="0" w:right="0" w:hanging="0"/>
        <w:jc w:val="left"/>
        <w:rPr>
          <w:rFonts w:ascii="Times New Roman" w:hAnsi="Times New Roman"/>
        </w:rPr>
      </w:pPr>
      <w:r>
        <w:rPr/>
      </w:r>
    </w:p>
    <w:p>
      <w:pPr>
        <w:pStyle w:val="Normal"/>
        <w:bidi w:val="0"/>
        <w:ind w:left="0" w:right="0" w:firstLine="708"/>
        <w:jc w:val="left"/>
        <w:rPr/>
      </w:pPr>
      <w:r>
        <w:rPr/>
        <w:t>Размер задатка указан в пункте 1 по каждому лоту.</w:t>
      </w:r>
    </w:p>
    <w:p>
      <w:pPr>
        <w:pStyle w:val="Normal"/>
        <w:bidi w:val="0"/>
        <w:ind w:left="0" w:right="0" w:hanging="0"/>
        <w:jc w:val="left"/>
        <w:rPr>
          <w:rFonts w:ascii="Times New Roman" w:hAnsi="Times New Roman"/>
        </w:rPr>
      </w:pPr>
      <w:r>
        <w:rPr/>
      </w:r>
    </w:p>
    <w:p>
      <w:pPr>
        <w:pStyle w:val="Normal"/>
        <w:bidi w:val="0"/>
        <w:ind w:left="0" w:right="0" w:firstLine="708"/>
        <w:rPr/>
      </w:pPr>
      <w:r>
        <w:rPr/>
        <w:t>Задаток для участия в аукционе служит обеспечением исполнения обязательств в части заключения договора, а также в обеспечение исполнения обязательств, предусмотренных договором купли-продажи.</w:t>
      </w:r>
    </w:p>
    <w:p>
      <w:pPr>
        <w:pStyle w:val="Normal"/>
        <w:numPr>
          <w:ilvl w:val="0"/>
          <w:numId w:val="0"/>
        </w:numPr>
        <w:bidi w:val="0"/>
        <w:spacing w:beforeAutospacing="1" w:afterAutospacing="1"/>
        <w:ind w:left="0" w:right="0" w:firstLine="708"/>
        <w:outlineLvl w:val="3"/>
        <w:rPr/>
      </w:pPr>
      <w:r>
        <w:rPr>
          <w:b/>
        </w:rPr>
        <w:t xml:space="preserve">Срок зачисления денежных средств </w:t>
      </w:r>
      <w:r>
        <w:rPr/>
        <w:t xml:space="preserve">на лицевой счет Претендента (Участника) на Универсальной торговой платформе – </w:t>
      </w:r>
      <w:r>
        <w:rPr>
          <w:b/>
        </w:rPr>
        <w:t xml:space="preserve">от 1 до 3 рабочих дней. </w:t>
      </w:r>
      <w:r>
        <w:rPr/>
        <w:t>Платежи разносятся по лицевым счетам каждый РАБОЧИЙ день по факту поступления средств по банковским выпискам (т.е. банковский день и рабочий день).</w:t>
      </w:r>
    </w:p>
    <w:p>
      <w:pPr>
        <w:pStyle w:val="Normal"/>
        <w:numPr>
          <w:ilvl w:val="0"/>
          <w:numId w:val="0"/>
        </w:numPr>
        <w:bidi w:val="0"/>
        <w:spacing w:beforeAutospacing="1" w:afterAutospacing="1"/>
        <w:ind w:left="0" w:right="0" w:firstLine="708"/>
        <w:outlineLvl w:val="3"/>
        <w:rPr/>
      </w:pPr>
      <w:r>
        <w:rPr/>
        <w:t xml:space="preserve">В случае, если перечисленные денежные средства не зачислены в вышеуказанный срок, необходимо проинформировать об этом оператора, направив обращение на адрес электронной почты </w:t>
      </w:r>
      <w:hyperlink r:id="rId4">
        <w:r>
          <w:rPr>
            <w:rStyle w:val="ListLabel22"/>
          </w:rPr>
          <w:t>property@sberbank-ast.ru</w:t>
        </w:r>
      </w:hyperlink>
      <w:r>
        <w:rPr/>
        <w:t xml:space="preserve"> с приложением документов, подтверждающих перечисление денежных средств (скан-копия платежного поручения или чек-ордер и т.п.).</w:t>
      </w:r>
    </w:p>
    <w:p>
      <w:pPr>
        <w:pStyle w:val="Normal"/>
        <w:numPr>
          <w:ilvl w:val="0"/>
          <w:numId w:val="0"/>
        </w:numPr>
        <w:bidi w:val="0"/>
        <w:spacing w:before="0" w:afterAutospacing="1"/>
        <w:ind w:left="0" w:right="0" w:firstLine="708"/>
        <w:outlineLvl w:val="3"/>
        <w:rPr/>
      </w:pPr>
      <w:r>
        <w:rPr>
          <w:b/>
        </w:rPr>
        <w:t>Банковские реквизиты счета для перечисления задатка:</w:t>
      </w:r>
    </w:p>
    <w:tbl>
      <w:tblPr>
        <w:tblW w:w="9912" w:type="dxa"/>
        <w:jc w:val="left"/>
        <w:tblInd w:w="-108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6"/>
        <w:gridCol w:w="4955"/>
      </w:tblGrid>
      <w:tr>
        <w:trPr/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0"/>
              </w:numPr>
              <w:tabs>
                <w:tab w:val="clear" w:pos="708"/>
              </w:tabs>
              <w:bidi w:val="0"/>
              <w:spacing w:before="0" w:after="0"/>
              <w:ind w:left="0" w:right="0" w:hanging="0"/>
              <w:outlineLvl w:val="3"/>
              <w:rPr/>
            </w:pPr>
            <w:r>
              <w:rPr>
                <w:b/>
              </w:rPr>
              <w:t>Получатель</w:t>
            </w:r>
          </w:p>
        </w:tc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0"/>
              </w:numPr>
              <w:tabs>
                <w:tab w:val="clear" w:pos="708"/>
              </w:tabs>
              <w:bidi w:val="0"/>
              <w:spacing w:before="0" w:after="0"/>
              <w:ind w:left="0" w:right="0" w:hanging="0"/>
              <w:outlineLvl w:val="3"/>
              <w:rPr>
                <w:rFonts w:ascii="Times New Roman" w:hAnsi="Times New Roman"/>
                <w:b/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0"/>
              </w:numPr>
              <w:bidi w:val="0"/>
              <w:spacing w:beforeAutospacing="1" w:after="0"/>
              <w:ind w:left="0" w:right="0" w:hanging="0"/>
              <w:outlineLvl w:val="3"/>
              <w:rPr/>
            </w:pPr>
            <w:r>
              <w:rPr>
                <w:color w:val="333333"/>
                <w:sz w:val="22"/>
                <w:szCs w:val="22"/>
                <w:lang w:eastAsia="ru-RU"/>
              </w:rPr>
              <w:t>Наименование:</w:t>
            </w:r>
          </w:p>
        </w:tc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0"/>
              </w:numPr>
              <w:bidi w:val="0"/>
              <w:spacing w:beforeAutospacing="1" w:after="0"/>
              <w:ind w:left="0" w:right="0" w:hanging="0"/>
              <w:outlineLvl w:val="3"/>
              <w:rPr/>
            </w:pPr>
            <w:r>
              <w:rPr>
                <w:color w:val="333333"/>
                <w:sz w:val="22"/>
                <w:szCs w:val="22"/>
                <w:lang w:eastAsia="ru-RU"/>
              </w:rPr>
              <w:t>АО "Сбербанк-АСТ"</w:t>
            </w:r>
          </w:p>
        </w:tc>
      </w:tr>
      <w:tr>
        <w:trPr/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0"/>
              </w:numPr>
              <w:bidi w:val="0"/>
              <w:spacing w:beforeAutospacing="1" w:after="0"/>
              <w:ind w:left="0" w:right="0" w:hanging="0"/>
              <w:outlineLvl w:val="3"/>
              <w:rPr/>
            </w:pPr>
            <w:r>
              <w:rPr/>
              <w:t>ИНН:</w:t>
            </w:r>
          </w:p>
        </w:tc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0"/>
              </w:numPr>
              <w:bidi w:val="0"/>
              <w:spacing w:beforeAutospacing="1" w:after="0"/>
              <w:ind w:left="0" w:right="0" w:hanging="0"/>
              <w:outlineLvl w:val="3"/>
              <w:rPr/>
            </w:pPr>
            <w:r>
              <w:rPr>
                <w:color w:val="333333"/>
                <w:sz w:val="22"/>
                <w:szCs w:val="22"/>
                <w:lang w:eastAsia="ru-RU"/>
              </w:rPr>
              <w:t>7707308480</w:t>
            </w:r>
          </w:p>
        </w:tc>
      </w:tr>
      <w:tr>
        <w:trPr/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0"/>
              </w:numPr>
              <w:bidi w:val="0"/>
              <w:spacing w:beforeAutospacing="1" w:after="0"/>
              <w:ind w:left="0" w:right="0" w:hanging="0"/>
              <w:outlineLvl w:val="3"/>
              <w:rPr/>
            </w:pPr>
            <w:r>
              <w:rPr/>
              <w:t>КПП:</w:t>
            </w:r>
          </w:p>
        </w:tc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ind w:left="0" w:right="0" w:hanging="0"/>
              <w:rPr/>
            </w:pPr>
            <w:r>
              <w:rPr>
                <w:color w:val="333333"/>
                <w:sz w:val="22"/>
                <w:szCs w:val="22"/>
                <w:lang w:eastAsia="ru-RU"/>
              </w:rPr>
              <w:t xml:space="preserve">770401001 </w:t>
            </w:r>
          </w:p>
        </w:tc>
      </w:tr>
      <w:tr>
        <w:trPr/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0"/>
              </w:numPr>
              <w:bidi w:val="0"/>
              <w:spacing w:beforeAutospacing="1" w:after="0"/>
              <w:ind w:left="0" w:right="0" w:hanging="0"/>
              <w:outlineLvl w:val="3"/>
              <w:rPr/>
            </w:pPr>
            <w:r>
              <w:rPr>
                <w:color w:val="333333"/>
                <w:sz w:val="22"/>
                <w:szCs w:val="22"/>
                <w:lang w:eastAsia="ru-RU"/>
              </w:rPr>
              <w:t>Расчетный счет:</w:t>
            </w:r>
          </w:p>
        </w:tc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0"/>
              </w:numPr>
              <w:bidi w:val="0"/>
              <w:spacing w:beforeAutospacing="1" w:after="0"/>
              <w:ind w:left="0" w:right="0" w:hanging="0"/>
              <w:outlineLvl w:val="3"/>
              <w:rPr/>
            </w:pPr>
            <w:r>
              <w:rPr>
                <w:color w:val="333333"/>
                <w:sz w:val="22"/>
                <w:szCs w:val="22"/>
                <w:lang w:eastAsia="ru-RU"/>
              </w:rPr>
              <w:t>40702810300020038047</w:t>
            </w:r>
          </w:p>
        </w:tc>
      </w:tr>
      <w:tr>
        <w:trPr/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0"/>
              </w:numPr>
              <w:bidi w:val="0"/>
              <w:spacing w:beforeAutospacing="1" w:after="0"/>
              <w:ind w:left="0" w:right="0" w:hanging="0"/>
              <w:outlineLvl w:val="3"/>
              <w:rPr/>
            </w:pPr>
            <w:r>
              <w:rPr>
                <w:b/>
              </w:rPr>
              <w:t>Банк получателя:</w:t>
            </w:r>
          </w:p>
        </w:tc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0"/>
              </w:numPr>
              <w:bidi w:val="0"/>
              <w:spacing w:beforeAutospacing="1" w:after="0"/>
              <w:ind w:left="0" w:right="0" w:hanging="0"/>
              <w:outlineLvl w:val="3"/>
              <w:rPr>
                <w:rFonts w:ascii="Times New Roman" w:hAnsi="Times New Roman"/>
                <w:b/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0"/>
              </w:numPr>
              <w:bidi w:val="0"/>
              <w:spacing w:beforeAutospacing="1" w:after="0"/>
              <w:ind w:left="0" w:right="0" w:hanging="0"/>
              <w:outlineLvl w:val="3"/>
              <w:rPr/>
            </w:pPr>
            <w:r>
              <w:rPr>
                <w:color w:val="333333"/>
                <w:sz w:val="22"/>
                <w:szCs w:val="22"/>
                <w:lang w:eastAsia="ru-RU"/>
              </w:rPr>
              <w:t>Наименование банка:</w:t>
            </w:r>
          </w:p>
        </w:tc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0"/>
              </w:numPr>
              <w:bidi w:val="0"/>
              <w:spacing w:beforeAutospacing="1" w:after="0"/>
              <w:ind w:left="0" w:right="0" w:hanging="0"/>
              <w:outlineLvl w:val="3"/>
              <w:rPr/>
            </w:pPr>
            <w:r>
              <w:rPr>
                <w:color w:val="333333"/>
                <w:sz w:val="22"/>
                <w:szCs w:val="22"/>
                <w:lang w:eastAsia="ru-RU"/>
              </w:rPr>
              <w:t>ПАО "СБЕРБАНК РОССИИ" Г. МОСКВА</w:t>
            </w:r>
          </w:p>
        </w:tc>
      </w:tr>
      <w:tr>
        <w:trPr/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0"/>
              </w:numPr>
              <w:bidi w:val="0"/>
              <w:spacing w:beforeAutospacing="1" w:after="0"/>
              <w:ind w:left="0" w:right="0" w:hanging="0"/>
              <w:outlineLvl w:val="3"/>
              <w:rPr/>
            </w:pPr>
            <w:r>
              <w:rPr>
                <w:color w:val="333333"/>
                <w:sz w:val="22"/>
                <w:szCs w:val="22"/>
                <w:lang w:eastAsia="ru-RU"/>
              </w:rPr>
              <w:t>БИК:</w:t>
            </w:r>
          </w:p>
        </w:tc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0"/>
              </w:numPr>
              <w:bidi w:val="0"/>
              <w:spacing w:beforeAutospacing="1" w:after="0"/>
              <w:ind w:left="0" w:right="0" w:hanging="0"/>
              <w:outlineLvl w:val="3"/>
              <w:rPr/>
            </w:pPr>
            <w:r>
              <w:rPr>
                <w:color w:val="333333"/>
                <w:sz w:val="22"/>
                <w:szCs w:val="22"/>
                <w:lang w:eastAsia="ru-RU"/>
              </w:rPr>
              <w:t>044525225</w:t>
            </w:r>
          </w:p>
        </w:tc>
      </w:tr>
      <w:tr>
        <w:trPr/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0"/>
              </w:numPr>
              <w:bidi w:val="0"/>
              <w:spacing w:beforeAutospacing="1" w:after="0"/>
              <w:ind w:left="0" w:right="0" w:hanging="0"/>
              <w:outlineLvl w:val="3"/>
              <w:rPr/>
            </w:pPr>
            <w:r>
              <w:rPr>
                <w:color w:val="333333"/>
                <w:sz w:val="22"/>
                <w:szCs w:val="22"/>
                <w:lang w:eastAsia="ru-RU"/>
              </w:rPr>
              <w:t>Корреспондентский счет:</w:t>
            </w:r>
          </w:p>
        </w:tc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0"/>
              </w:numPr>
              <w:bidi w:val="0"/>
              <w:spacing w:beforeAutospacing="1" w:after="0"/>
              <w:ind w:left="0" w:right="0" w:hanging="0"/>
              <w:outlineLvl w:val="3"/>
              <w:rPr/>
            </w:pPr>
            <w:r>
              <w:rPr>
                <w:color w:val="333333"/>
                <w:sz w:val="22"/>
                <w:szCs w:val="22"/>
                <w:lang w:eastAsia="ru-RU"/>
              </w:rPr>
              <w:t>30101810400000000225</w:t>
            </w:r>
          </w:p>
        </w:tc>
      </w:tr>
    </w:tbl>
    <w:p>
      <w:pPr>
        <w:pStyle w:val="Normal"/>
        <w:bidi w:val="0"/>
        <w:spacing w:lineRule="atLeast" w:line="240" w:beforeAutospacing="1" w:afterAutospacing="1"/>
        <w:ind w:left="0" w:right="0" w:firstLine="708"/>
        <w:rPr/>
      </w:pPr>
      <w:r>
        <w:rPr>
          <w:b/>
        </w:rPr>
        <w:t xml:space="preserve">В назначении платежа необходимо указать: Перечисление денежных средств в качестве задатка (ИНН плательщика), НДС не облагается. </w:t>
      </w:r>
    </w:p>
    <w:p>
      <w:pPr>
        <w:pStyle w:val="Normal"/>
        <w:bidi w:val="0"/>
        <w:spacing w:lineRule="atLeast" w:line="240" w:beforeAutospacing="1" w:afterAutospacing="1"/>
        <w:ind w:left="0" w:right="0" w:firstLine="708"/>
        <w:rPr/>
      </w:pPr>
      <w:r>
        <w:rPr/>
        <w:t>Денежные средства, перечисленные</w:t>
      </w:r>
      <w:r>
        <w:rPr>
          <w:b/>
        </w:rPr>
        <w:t xml:space="preserve"> за Участника третьим лицом, не зачисляются </w:t>
      </w:r>
      <w:r>
        <w:rPr/>
        <w:t xml:space="preserve">на счет такого Участника на Универсальной торговой платформе. </w:t>
      </w:r>
    </w:p>
    <w:p>
      <w:pPr>
        <w:pStyle w:val="Normal"/>
        <w:bidi w:val="0"/>
        <w:spacing w:lineRule="atLeast" w:line="240" w:beforeAutospacing="1" w:afterAutospacing="1"/>
        <w:ind w:left="0" w:right="0" w:firstLine="708"/>
        <w:rPr/>
      </w:pPr>
      <w:r>
        <w:rPr/>
        <w:t xml:space="preserve">Образец платежного поручения приведен на электронной площадке по адресу: http://utp.sberbank-ast.ru/AP/Notice/653/Requisites. </w:t>
      </w:r>
    </w:p>
    <w:p>
      <w:pPr>
        <w:pStyle w:val="Normal"/>
        <w:bidi w:val="0"/>
        <w:spacing w:lineRule="atLeast" w:line="240" w:beforeAutospacing="1" w:afterAutospacing="1"/>
        <w:ind w:left="0" w:right="0" w:firstLine="708"/>
        <w:rPr/>
      </w:pPr>
      <w:r>
        <w:rPr/>
        <w:t>При уклонении или отказе победителя аукциона от заключения в установленный срок договора купли-продажи имущества результаты продажи аннулируются, победитель утрачивает право на заключение указанного договора, задаток ему не возвращается.</w:t>
      </w:r>
    </w:p>
    <w:p>
      <w:pPr>
        <w:pStyle w:val="Normal"/>
        <w:bidi w:val="0"/>
        <w:ind w:left="0" w:right="0" w:firstLine="708"/>
        <w:rPr/>
      </w:pPr>
      <w:r>
        <w:rPr/>
        <w:t xml:space="preserve">Данное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на участие в аукционе и перечисление задатка являются акцептом такой оферты, после чего договор о задатке считается заключенным в письменной форме на условиях настоящего информационного сообщения. </w:t>
      </w:r>
    </w:p>
    <w:p>
      <w:pPr>
        <w:pStyle w:val="Normal"/>
        <w:bidi w:val="0"/>
        <w:ind w:left="0" w:right="0" w:hanging="0"/>
        <w:rPr>
          <w:rFonts w:ascii="Times New Roman" w:hAnsi="Times New Roman"/>
        </w:rPr>
      </w:pPr>
      <w:r>
        <w:rPr/>
      </w:r>
    </w:p>
    <w:p>
      <w:pPr>
        <w:pStyle w:val="Normal"/>
        <w:bidi w:val="0"/>
        <w:ind w:left="0" w:right="0" w:firstLine="708"/>
        <w:rPr/>
      </w:pPr>
      <w:r>
        <w:rPr/>
        <w:t xml:space="preserve">Платежи по перечислению задатка для участия в торгах и порядок возврата задатка осуществляются в соответствии с Регламентом электронной площадки. </w:t>
      </w:r>
    </w:p>
    <w:p>
      <w:pPr>
        <w:pStyle w:val="Normal"/>
        <w:bidi w:val="0"/>
        <w:ind w:left="0" w:right="0" w:hanging="0"/>
        <w:rPr>
          <w:rFonts w:ascii="Times New Roman" w:hAnsi="Times New Roman"/>
        </w:rPr>
      </w:pPr>
      <w:r>
        <w:rPr/>
      </w:r>
    </w:p>
    <w:p>
      <w:pPr>
        <w:pStyle w:val="Normal"/>
        <w:bidi w:val="0"/>
        <w:ind w:left="0" w:right="0" w:firstLine="708"/>
        <w:rPr/>
      </w:pPr>
      <w:r>
        <w:rPr/>
        <w:t xml:space="preserve">Задаток возвращается всем участникам аукциона, кроме победителя, в течение 5 (пяти) календарных дней с даты подведения итогов аукциона. Задаток, перечисленный победителем аукциона, засчитывается в сумму платежа по договору купли-продажи. </w:t>
      </w:r>
    </w:p>
    <w:p>
      <w:pPr>
        <w:pStyle w:val="Normal"/>
        <w:bidi w:val="0"/>
        <w:ind w:left="0" w:right="0" w:hanging="0"/>
        <w:jc w:val="left"/>
        <w:rPr>
          <w:rFonts w:ascii="Times New Roman" w:hAnsi="Times New Roman"/>
        </w:rPr>
      </w:pPr>
      <w:r>
        <w:rPr/>
      </w:r>
    </w:p>
    <w:p>
      <w:pPr>
        <w:pStyle w:val="Normal"/>
        <w:bidi w:val="0"/>
        <w:ind w:left="0" w:right="0" w:firstLine="708"/>
        <w:rPr/>
      </w:pPr>
      <w:r>
        <w:rPr/>
        <w:t>В случае расторжения договора купли-продажи по вине Покупателя, задаток не возвращается и остается у Продавца.</w:t>
      </w:r>
    </w:p>
    <w:p>
      <w:pPr>
        <w:pStyle w:val="Normal"/>
        <w:bidi w:val="0"/>
        <w:ind w:left="0" w:right="0" w:firstLine="708"/>
        <w:rPr>
          <w:rFonts w:ascii="Times New Roman" w:hAnsi="Times New Roman"/>
          <w:b/>
          <w:b/>
        </w:rPr>
      </w:pPr>
      <w:r>
        <w:rPr>
          <w:b/>
        </w:rPr>
      </w:r>
    </w:p>
    <w:p>
      <w:pPr>
        <w:pStyle w:val="Normal"/>
        <w:bidi w:val="0"/>
        <w:ind w:left="0" w:right="0" w:firstLine="708"/>
        <w:rPr/>
      </w:pPr>
      <w:r>
        <w:rPr/>
        <w:t>Претендент не допускается к участию в продаже по следующим основаниям:</w:t>
      </w:r>
    </w:p>
    <w:p>
      <w:pPr>
        <w:pStyle w:val="Normal"/>
        <w:bidi w:val="0"/>
        <w:ind w:left="0" w:right="0" w:firstLine="708"/>
        <w:rPr>
          <w:rFonts w:ascii="Times New Roman" w:hAnsi="Times New Roman"/>
        </w:rPr>
      </w:pPr>
      <w:r>
        <w:rPr/>
      </w:r>
    </w:p>
    <w:p>
      <w:pPr>
        <w:pStyle w:val="Normal"/>
        <w:bidi w:val="0"/>
        <w:ind w:left="0" w:right="0" w:hanging="0"/>
        <w:rPr/>
      </w:pPr>
      <w:r>
        <w:rPr/>
        <w:t xml:space="preserve"> </w:t>
      </w:r>
      <w:r>
        <w:rPr/>
        <w:t>- представленные документы не подтверждают право претендента быть покупателем в соответствии с законодательством Российской Федерации.</w:t>
      </w:r>
    </w:p>
    <w:p>
      <w:pPr>
        <w:pStyle w:val="Normal"/>
        <w:bidi w:val="0"/>
        <w:ind w:left="0" w:right="0" w:hanging="0"/>
        <w:rPr>
          <w:rFonts w:ascii="Times New Roman" w:hAnsi="Times New Roman"/>
          <w:b/>
          <w:b/>
        </w:rPr>
      </w:pPr>
      <w:r>
        <w:rPr>
          <w:b/>
        </w:rPr>
      </w:r>
    </w:p>
    <w:p>
      <w:pPr>
        <w:pStyle w:val="Normal"/>
        <w:bidi w:val="0"/>
        <w:ind w:left="0" w:right="0" w:hanging="0"/>
        <w:rPr/>
      </w:pPr>
      <w:r>
        <w:rPr/>
        <w:t xml:space="preserve">- представлены не все документы в соответствии с перечнем, указанным в информационном сообщении (за исключением предложений о цене муниципального имущества на аукционе), или оформление указанных документов не соответствует законодательству Российской Федерации; </w:t>
      </w:r>
    </w:p>
    <w:p>
      <w:pPr>
        <w:pStyle w:val="Normal"/>
        <w:bidi w:val="0"/>
        <w:ind w:left="0" w:right="0" w:hanging="0"/>
        <w:rPr>
          <w:rFonts w:ascii="Times New Roman" w:hAnsi="Times New Roman"/>
          <w:highlight w:val="yellow"/>
        </w:rPr>
      </w:pPr>
      <w:r>
        <w:rPr>
          <w:highlight w:val="yellow"/>
        </w:rPr>
      </w:r>
    </w:p>
    <w:p>
      <w:pPr>
        <w:pStyle w:val="Normal"/>
        <w:bidi w:val="0"/>
        <w:ind w:left="0" w:right="0" w:hanging="0"/>
        <w:rPr/>
      </w:pPr>
      <w:r>
        <w:rPr/>
        <w:t xml:space="preserve">- заявка подана лицом, не уполномоченным претендентом на осуществление таких действий; </w:t>
      </w:r>
    </w:p>
    <w:p>
      <w:pPr>
        <w:pStyle w:val="Normal"/>
        <w:bidi w:val="0"/>
        <w:ind w:left="0" w:right="0" w:hanging="0"/>
        <w:rPr>
          <w:rFonts w:ascii="Times New Roman" w:hAnsi="Times New Roman"/>
        </w:rPr>
      </w:pPr>
      <w:r>
        <w:rPr/>
      </w:r>
    </w:p>
    <w:p>
      <w:pPr>
        <w:pStyle w:val="Normal"/>
        <w:bidi w:val="0"/>
        <w:ind w:left="0" w:right="0" w:hanging="0"/>
        <w:rPr/>
      </w:pPr>
      <w:r>
        <w:rPr/>
        <w:t xml:space="preserve">- не подтверждено поступление в установленный срок задатка на счета, указанные в информационном сообщении. </w:t>
      </w:r>
    </w:p>
    <w:p>
      <w:pPr>
        <w:pStyle w:val="Normal"/>
        <w:bidi w:val="0"/>
        <w:ind w:left="0" w:right="0" w:hanging="0"/>
        <w:rPr>
          <w:rFonts w:ascii="Times New Roman" w:hAnsi="Times New Roman"/>
        </w:rPr>
      </w:pPr>
      <w:r>
        <w:rPr/>
      </w:r>
    </w:p>
    <w:p>
      <w:pPr>
        <w:pStyle w:val="Normal"/>
        <w:bidi w:val="0"/>
        <w:ind w:left="0" w:right="0" w:firstLine="708"/>
        <w:rPr/>
      </w:pPr>
      <w:r>
        <w:rPr/>
        <w:t xml:space="preserve">Продавец в день рассмотрения заявок и документов Претендентов подписывает протокол о признании Претендентов участниками,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аукционе, с указанием оснований такого отказа. </w:t>
      </w:r>
    </w:p>
    <w:p>
      <w:pPr>
        <w:pStyle w:val="Normal"/>
        <w:bidi w:val="0"/>
        <w:ind w:left="0" w:right="0" w:hanging="0"/>
        <w:rPr>
          <w:rFonts w:ascii="Times New Roman" w:hAnsi="Times New Roman"/>
        </w:rPr>
      </w:pPr>
      <w:r>
        <w:rPr/>
      </w:r>
    </w:p>
    <w:p>
      <w:pPr>
        <w:pStyle w:val="Normal"/>
        <w:bidi w:val="0"/>
        <w:ind w:left="0" w:right="0" w:firstLine="708"/>
        <w:rPr/>
      </w:pPr>
      <w:r>
        <w:rPr/>
        <w:t xml:space="preserve">Претендент приобретает статус участника аукциона с момента подписания протокола о признании Претендентов участниками аукциона. </w:t>
      </w:r>
    </w:p>
    <w:p>
      <w:pPr>
        <w:pStyle w:val="Normal"/>
        <w:bidi w:val="0"/>
        <w:ind w:left="0" w:right="0" w:hanging="0"/>
        <w:rPr>
          <w:rFonts w:ascii="Times New Roman" w:hAnsi="Times New Roman"/>
        </w:rPr>
      </w:pPr>
      <w:r>
        <w:rPr/>
      </w:r>
    </w:p>
    <w:p>
      <w:pPr>
        <w:pStyle w:val="Normal"/>
        <w:bidi w:val="0"/>
        <w:ind w:left="0" w:right="0" w:firstLine="708"/>
        <w:rPr/>
      </w:pPr>
      <w:r>
        <w:rPr/>
        <w:t xml:space="preserve">Не позднее следующего рабочего дня после дня подписания протокола о признании Претендентов участниками всем Претендентам, подавшим заявки, направляется уведомление о признании их участниками аукциона или об отказе в признании участниками аукциона с указанием оснований отказа. </w:t>
      </w:r>
    </w:p>
    <w:p>
      <w:pPr>
        <w:pStyle w:val="ConsPlusNormal"/>
        <w:bidi w:val="0"/>
        <w:spacing w:before="240" w:after="0"/>
        <w:ind w:left="0" w:right="0" w:firstLine="540"/>
        <w:jc w:val="both"/>
        <w:rPr/>
      </w:pPr>
      <w:r>
        <w:rPr>
          <w:rFonts w:cs="Times New Roman" w:ascii="Times New Roman" w:hAnsi="Times New Roman"/>
          <w:b w:val="false"/>
          <w:sz w:val="24"/>
          <w:szCs w:val="24"/>
          <w:lang w:eastAsia="en-US"/>
        </w:rPr>
        <w:t xml:space="preserve">Информация о Претендентах, не допущенных к участию в аукционе, размещается в открытой части электронной площадки, на официальном сайте Российской Федерации для размещения информации о проведении торгов </w:t>
      </w:r>
      <w:hyperlink r:id="rId5">
        <w:r>
          <w:rPr>
            <w:rStyle w:val="ListLabel23"/>
            <w:rFonts w:cs="Times New Roman" w:ascii="Times New Roman" w:hAnsi="Times New Roman"/>
            <w:b w:val="false"/>
            <w:sz w:val="24"/>
            <w:szCs w:val="24"/>
            <w:lang w:eastAsia="en-US"/>
          </w:rPr>
          <w:t>www.torgi.gov.ru</w:t>
        </w:r>
      </w:hyperlink>
      <w:r>
        <w:rPr>
          <w:rFonts w:cs="Times New Roman" w:ascii="Times New Roman" w:hAnsi="Times New Roman"/>
          <w:b w:val="false"/>
          <w:sz w:val="24"/>
          <w:szCs w:val="24"/>
          <w:lang w:eastAsia="en-US"/>
        </w:rPr>
        <w:t xml:space="preserve">, а также на сайте продавца </w:t>
      </w:r>
      <w:hyperlink r:id="rId6">
        <w:r>
          <w:rPr>
            <w:rStyle w:val="ListLabel23"/>
            <w:rFonts w:cs="Times New Roman" w:ascii="Times New Roman" w:hAnsi="Times New Roman"/>
            <w:b w:val="false"/>
            <w:sz w:val="24"/>
            <w:szCs w:val="24"/>
            <w:lang w:eastAsia="en-US"/>
          </w:rPr>
          <w:t>https://imush.kamensk-uralskiy.ru/</w:t>
        </w:r>
      </w:hyperlink>
      <w:r>
        <w:rPr>
          <w:rFonts w:cs="Times New Roman" w:ascii="Times New Roman" w:hAnsi="Times New Roman"/>
          <w:b w:val="false"/>
          <w:sz w:val="24"/>
          <w:szCs w:val="24"/>
          <w:lang w:eastAsia="en-US"/>
        </w:rPr>
        <w:t>.</w:t>
      </w:r>
    </w:p>
    <w:p>
      <w:pPr>
        <w:pStyle w:val="Normal"/>
        <w:bidi w:val="0"/>
        <w:ind w:left="0" w:right="0" w:firstLine="708"/>
        <w:rPr>
          <w:rFonts w:ascii="Times New Roman" w:hAnsi="Times New Roman"/>
          <w:b/>
          <w:b/>
        </w:rPr>
      </w:pPr>
      <w:r>
        <w:rPr>
          <w:b/>
        </w:rPr>
      </w:r>
    </w:p>
    <w:p>
      <w:pPr>
        <w:pStyle w:val="Normal"/>
        <w:bidi w:val="0"/>
        <w:ind w:left="0" w:right="0" w:firstLine="708"/>
        <w:rPr/>
      </w:pPr>
      <w:r>
        <w:rPr>
          <w:b/>
        </w:rPr>
        <w:t xml:space="preserve">3. Порядок ознакомления с документацией и информацией об имуществе, условиями договора купли-продажи имущества </w:t>
      </w:r>
    </w:p>
    <w:p>
      <w:pPr>
        <w:pStyle w:val="Normal"/>
        <w:bidi w:val="0"/>
        <w:ind w:left="0" w:right="0" w:firstLine="708"/>
        <w:rPr>
          <w:rFonts w:ascii="Times New Roman" w:hAnsi="Times New Roman"/>
        </w:rPr>
      </w:pPr>
      <w:r>
        <w:rPr/>
      </w:r>
    </w:p>
    <w:p>
      <w:pPr>
        <w:pStyle w:val="Normal"/>
        <w:widowControl w:val="false"/>
        <w:bidi w:val="0"/>
        <w:ind w:left="0" w:right="0" w:firstLine="708"/>
        <w:rPr/>
      </w:pPr>
      <w:r>
        <w:rPr/>
        <w:t>Информационное сообщение о проведении электронной продажи объектов</w:t>
      </w:r>
      <w:r>
        <w:rPr>
          <w:b/>
          <w:sz w:val="28"/>
        </w:rPr>
        <w:t xml:space="preserve"> </w:t>
      </w:r>
      <w:r>
        <w:rPr/>
        <w:t>на аукционе, а также образец договора купли-продажи имущества размещается на официальном сайте Российской Федерации для размещения информации о проведении торгов www.torgi.gov.ru, официальном сайте Продавца https://kamensk-ur-sport.ru/ и в открытой для доступа неограниченного круга лиц части электронной площадки на сайте http://utp.sberbank-ast.ru</w:t>
      </w:r>
      <w:r>
        <w:rPr>
          <w:b/>
        </w:rPr>
        <w:t>.</w:t>
      </w:r>
      <w:r>
        <w:rPr/>
        <w:t xml:space="preserve"> </w:t>
      </w:r>
    </w:p>
    <w:p>
      <w:pPr>
        <w:pStyle w:val="Normal"/>
        <w:bidi w:val="0"/>
        <w:ind w:left="0" w:right="0" w:firstLine="708"/>
        <w:rPr>
          <w:rFonts w:ascii="Times New Roman" w:hAnsi="Times New Roman"/>
        </w:rPr>
      </w:pPr>
      <w:r>
        <w:rPr/>
      </w:r>
    </w:p>
    <w:p>
      <w:pPr>
        <w:pStyle w:val="Normal"/>
        <w:bidi w:val="0"/>
        <w:ind w:left="0" w:right="0" w:firstLine="708"/>
        <w:rPr/>
      </w:pPr>
      <w:r>
        <w:rPr/>
        <w:t xml:space="preserve">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электронной площадки запрос о разъяснении размещенной информации. </w:t>
      </w:r>
    </w:p>
    <w:p>
      <w:pPr>
        <w:pStyle w:val="Normal"/>
        <w:bidi w:val="0"/>
        <w:ind w:left="0" w:right="0" w:firstLine="708"/>
        <w:rPr>
          <w:rFonts w:ascii="Times New Roman" w:hAnsi="Times New Roman"/>
        </w:rPr>
      </w:pPr>
      <w:r>
        <w:rPr/>
      </w:r>
    </w:p>
    <w:p>
      <w:pPr>
        <w:pStyle w:val="Normal"/>
        <w:bidi w:val="0"/>
        <w:ind w:left="0" w:right="0" w:firstLine="708"/>
        <w:rPr/>
      </w:pPr>
      <w:r>
        <w:rPr/>
        <w:t xml:space="preserve">Такой запрос в режиме реального времени направляется в «личный кабинет» Продавца для рассмотрения при условии, что запрос поступил Продавцу торгов не позднее 5 (пяти) рабочих дней до даты окончания подачи заявок. </w:t>
      </w:r>
    </w:p>
    <w:p>
      <w:pPr>
        <w:pStyle w:val="Normal"/>
        <w:bidi w:val="0"/>
        <w:ind w:left="0" w:right="0" w:firstLine="708"/>
        <w:rPr>
          <w:rFonts w:ascii="Times New Roman" w:hAnsi="Times New Roman"/>
        </w:rPr>
      </w:pPr>
      <w:r>
        <w:rPr/>
      </w:r>
    </w:p>
    <w:p>
      <w:pPr>
        <w:pStyle w:val="Normal"/>
        <w:bidi w:val="0"/>
        <w:ind w:left="0" w:right="0" w:firstLine="708"/>
        <w:rPr/>
      </w:pPr>
      <w:r>
        <w:rPr/>
        <w:t xml:space="preserve">В течение 2 (двух) рабочих дней со дня поступления запроса Продавец предоставляет Оператору электронной площадки для размещения в открытом доступе разъяснение с указанием предмета запроса, но без указания лица, от которого поступил запрос. </w:t>
      </w:r>
    </w:p>
    <w:p>
      <w:pPr>
        <w:pStyle w:val="Normal"/>
        <w:bidi w:val="0"/>
        <w:ind w:left="0" w:right="0" w:firstLine="708"/>
        <w:rPr>
          <w:rFonts w:ascii="Times New Roman" w:hAnsi="Times New Roman"/>
        </w:rPr>
      </w:pPr>
      <w:r>
        <w:rPr/>
      </w:r>
    </w:p>
    <w:p>
      <w:pPr>
        <w:pStyle w:val="Normal"/>
        <w:bidi w:val="0"/>
        <w:ind w:left="0" w:right="0" w:firstLine="708"/>
        <w:rPr/>
      </w:pPr>
      <w:r>
        <w:rPr/>
        <w:t xml:space="preserve">Любое заинтересованное лицо независимо от регистрации на электронной площадке со дня начала приема заявок вправе осмотреть выставленные на продажу объекты муниципальной собственности, для чего необходимо предварительно направить письменный запрос с указанием ФИО, адреса регистрации, номера сотового телефона, предмета осмотра на электронный адрес: </w:t>
      </w:r>
      <w:r>
        <w:rPr>
          <w:b/>
          <w:u w:val="single"/>
        </w:rPr>
        <w:t>urist181@ mail.ru</w:t>
      </w:r>
      <w:r>
        <w:rPr/>
        <w:t xml:space="preserve">. Осмотр проводится в течении 5 (пяти) рабочих дней со дня получения запроса. </w:t>
      </w:r>
    </w:p>
    <w:p>
      <w:pPr>
        <w:pStyle w:val="Normal"/>
        <w:bidi w:val="0"/>
        <w:ind w:left="0" w:right="0" w:firstLine="708"/>
        <w:rPr>
          <w:rFonts w:ascii="Times New Roman" w:hAnsi="Times New Roman"/>
        </w:rPr>
      </w:pPr>
      <w:r>
        <w:rPr/>
      </w:r>
    </w:p>
    <w:p>
      <w:pPr>
        <w:pStyle w:val="Normal"/>
        <w:bidi w:val="0"/>
        <w:ind w:left="0" w:right="0" w:firstLine="708"/>
        <w:rPr/>
      </w:pPr>
      <w:r>
        <w:rPr/>
        <w:t>Данное информационное сообщение является публичной офертой, Претендент, подавший заявку и ставший Победителем торгов, но не реализовавший свое право на осмотр объекта и изучение технической документации, считается уведомленным о техническом состоянии объекта.</w:t>
      </w:r>
    </w:p>
    <w:p>
      <w:pPr>
        <w:pStyle w:val="Normal"/>
        <w:bidi w:val="0"/>
        <w:ind w:left="0" w:right="0" w:firstLine="708"/>
        <w:rPr>
          <w:rFonts w:ascii="Times New Roman" w:hAnsi="Times New Roman"/>
          <w:b/>
          <w:b/>
        </w:rPr>
      </w:pPr>
      <w:r>
        <w:rPr>
          <w:b/>
        </w:rPr>
      </w:r>
    </w:p>
    <w:p>
      <w:pPr>
        <w:pStyle w:val="Normal"/>
        <w:bidi w:val="0"/>
        <w:ind w:left="0" w:right="0" w:firstLine="708"/>
        <w:rPr/>
      </w:pPr>
      <w:r>
        <w:rPr>
          <w:b/>
        </w:rPr>
        <w:t>4. Форма подачи предложений о цене муниципального имущества.</w:t>
      </w:r>
    </w:p>
    <w:p>
      <w:pPr>
        <w:pStyle w:val="Normal"/>
        <w:bidi w:val="0"/>
        <w:ind w:left="0" w:right="0" w:firstLine="708"/>
        <w:rPr>
          <w:rFonts w:ascii="Times New Roman" w:hAnsi="Times New Roman"/>
        </w:rPr>
      </w:pPr>
      <w:r>
        <w:rPr/>
      </w:r>
    </w:p>
    <w:p>
      <w:pPr>
        <w:pStyle w:val="Normal"/>
        <w:bidi w:val="0"/>
        <w:ind w:left="0" w:right="0" w:firstLine="708"/>
        <w:rPr/>
      </w:pPr>
      <w:r>
        <w:rPr/>
        <w:t xml:space="preserve">Подача предложений о цене проводится в день и время, указанные в извещении о проведении торгов на электронной площадке – универсальная торговая платформа АО «Сбербанк-АСТ», размещенная на сайте http://utp.sberbank-ast.ru в сети Интернет. </w:t>
      </w:r>
    </w:p>
    <w:p>
      <w:pPr>
        <w:pStyle w:val="Normal"/>
        <w:bidi w:val="0"/>
        <w:ind w:left="0" w:right="0" w:firstLine="708"/>
        <w:rPr>
          <w:rFonts w:ascii="Times New Roman" w:hAnsi="Times New Roman"/>
        </w:rPr>
      </w:pPr>
      <w:r>
        <w:rPr/>
      </w:r>
    </w:p>
    <w:p>
      <w:pPr>
        <w:pStyle w:val="ConsPlusNormal"/>
        <w:bidi w:val="0"/>
        <w:ind w:left="0" w:right="0" w:firstLine="709"/>
        <w:jc w:val="both"/>
        <w:rPr/>
      </w:pPr>
      <w:r>
        <w:rPr>
          <w:rFonts w:cs="Times New Roman" w:ascii="Times New Roman" w:hAnsi="Times New Roman"/>
          <w:b w:val="false"/>
          <w:sz w:val="24"/>
          <w:szCs w:val="24"/>
          <w:lang w:eastAsia="en-US"/>
        </w:rPr>
        <w:t xml:space="preserve">Подача предложений в торговом зале возможна только в случае проведения аукциона (в случае наличия двух или более допущенных участников). </w:t>
      </w:r>
    </w:p>
    <w:p>
      <w:pPr>
        <w:pStyle w:val="Normal"/>
        <w:bidi w:val="0"/>
        <w:ind w:left="0" w:right="0" w:firstLine="708"/>
        <w:rPr>
          <w:rFonts w:ascii="Times New Roman" w:hAnsi="Times New Roman"/>
        </w:rPr>
      </w:pPr>
      <w:r>
        <w:rPr/>
      </w:r>
    </w:p>
    <w:p>
      <w:pPr>
        <w:pStyle w:val="Normal"/>
        <w:bidi w:val="0"/>
        <w:ind w:left="0" w:right="0" w:firstLine="708"/>
        <w:rPr/>
      </w:pPr>
      <w:r>
        <w:rPr/>
        <w:t xml:space="preserve">В установленные дату и время начала проведения торгов у Участника, допущенного к торгам, появляется возможность войти в Торговый зал и принять участие в торгах. Подача предложений о цене осуществляется в личном кабинете участника посредством штатного интерфейса. </w:t>
      </w:r>
    </w:p>
    <w:p>
      <w:pPr>
        <w:pStyle w:val="Normal"/>
        <w:bidi w:val="0"/>
        <w:ind w:left="0" w:right="0" w:firstLine="708"/>
        <w:rPr>
          <w:rFonts w:ascii="Times New Roman" w:hAnsi="Times New Roman"/>
        </w:rPr>
      </w:pPr>
      <w:r>
        <w:rPr/>
      </w:r>
    </w:p>
    <w:p>
      <w:pPr>
        <w:pStyle w:val="Normal"/>
        <w:bidi w:val="0"/>
        <w:ind w:left="0" w:right="0" w:firstLine="708"/>
        <w:rPr/>
      </w:pPr>
      <w:r>
        <w:rPr/>
        <w:t>Подача предложений о цене для многолотовых процедур осуществляется отдельно по каждому лоту. Сроки проведения аукциона для всех лотов устанавливаются единые.</w:t>
      </w:r>
    </w:p>
    <w:p>
      <w:pPr>
        <w:pStyle w:val="Normal"/>
        <w:bidi w:val="0"/>
        <w:ind w:left="0" w:right="0" w:firstLine="708"/>
        <w:rPr>
          <w:rFonts w:ascii="Times New Roman" w:hAnsi="Times New Roman"/>
          <w:b/>
          <w:b/>
          <w:highlight w:val="yellow"/>
        </w:rPr>
      </w:pPr>
      <w:r>
        <w:rPr>
          <w:b/>
          <w:highlight w:val="yellow"/>
        </w:rPr>
      </w:r>
    </w:p>
    <w:p>
      <w:pPr>
        <w:pStyle w:val="TextBoldCenter"/>
        <w:numPr>
          <w:ilvl w:val="0"/>
          <w:numId w:val="0"/>
        </w:numPr>
        <w:bidi w:val="0"/>
        <w:spacing w:before="0" w:after="0"/>
        <w:ind w:left="0" w:right="0" w:firstLine="567"/>
        <w:jc w:val="both"/>
        <w:outlineLvl w:val="0"/>
        <w:rPr/>
      </w:pPr>
      <w:r>
        <w:rPr>
          <w:sz w:val="24"/>
          <w:szCs w:val="24"/>
        </w:rPr>
        <w:t>5.</w:t>
      </w:r>
      <w:r>
        <w:rPr/>
        <w:t xml:space="preserve"> </w:t>
      </w:r>
      <w:r>
        <w:rPr>
          <w:bCs w:val="false"/>
          <w:sz w:val="24"/>
          <w:szCs w:val="24"/>
          <w:lang w:eastAsia="en-US"/>
        </w:rPr>
        <w:t>Порядок проведения аукциона в электронной форме, определения его победителей и место подведения итогов продажи муниципального имущества</w:t>
      </w:r>
    </w:p>
    <w:p>
      <w:pPr>
        <w:pStyle w:val="Normal"/>
        <w:bidi w:val="0"/>
        <w:ind w:left="0" w:right="0" w:firstLine="708"/>
        <w:rPr>
          <w:rFonts w:ascii="Times New Roman" w:hAnsi="Times New Roman"/>
          <w:b/>
          <w:b/>
        </w:rPr>
      </w:pPr>
      <w:r>
        <w:rPr>
          <w:b/>
        </w:rPr>
      </w:r>
    </w:p>
    <w:p>
      <w:pPr>
        <w:pStyle w:val="ConsPlusNormal"/>
        <w:bidi w:val="0"/>
        <w:ind w:left="0" w:right="0" w:firstLine="709"/>
        <w:jc w:val="both"/>
        <w:rPr/>
      </w:pPr>
      <w:r>
        <w:rPr>
          <w:rFonts w:cs="Times New Roman" w:ascii="Times New Roman" w:hAnsi="Times New Roman"/>
          <w:b w:val="false"/>
          <w:sz w:val="24"/>
          <w:szCs w:val="24"/>
          <w:lang w:eastAsia="en-US"/>
        </w:rPr>
        <w:t>Процедура продажи в электронной форме проводится в день и во время, указанные в информационном сообщении о продаже муниципального имущества, путем последовательного повышения участниками начальной цены продажи на величину, равную либо кратную величине «шага аукциона».</w:t>
      </w:r>
    </w:p>
    <w:p>
      <w:pPr>
        <w:pStyle w:val="ConsPlusNormal"/>
        <w:bidi w:val="0"/>
        <w:ind w:left="0" w:right="0" w:firstLine="709"/>
        <w:jc w:val="both"/>
        <w:rPr/>
      </w:pPr>
      <w:r>
        <w:rPr>
          <w:rFonts w:cs="Times New Roman" w:ascii="Times New Roman" w:hAnsi="Times New Roman"/>
          <w:b w:val="false"/>
          <w:sz w:val="24"/>
          <w:szCs w:val="24"/>
          <w:lang w:eastAsia="en-US"/>
        </w:rPr>
        <w:t>«Шаг аукциона» устанавливается Продавцом в фиксированной сумме и не изменяется в течение всего аукциона.</w:t>
      </w:r>
    </w:p>
    <w:p>
      <w:pPr>
        <w:pStyle w:val="Normal"/>
        <w:bidi w:val="0"/>
        <w:ind w:left="0" w:right="0" w:firstLine="708"/>
        <w:rPr/>
      </w:pPr>
      <w:r>
        <w:rPr/>
        <w:t>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>
      <w:pPr>
        <w:pStyle w:val="ConsPlusNormal"/>
        <w:bidi w:val="0"/>
        <w:ind w:left="0" w:right="0" w:firstLine="709"/>
        <w:jc w:val="both"/>
        <w:rPr/>
      </w:pPr>
      <w:r>
        <w:rPr>
          <w:rFonts w:cs="Times New Roman" w:ascii="Times New Roman" w:hAnsi="Times New Roman"/>
          <w:b w:val="false"/>
          <w:sz w:val="24"/>
          <w:szCs w:val="24"/>
          <w:lang w:eastAsia="en-US"/>
        </w:rPr>
        <w:t>Предложением о цене признается подписанное электронной подписью Участника предложение участника, увеличенное на величину, равную или кратную «шагу аукциона» от начальной цены продажи имущества или от лучшего предложения о цене, или предложение, равное начальной цене продажи.</w:t>
      </w:r>
    </w:p>
    <w:p>
      <w:pPr>
        <w:pStyle w:val="Normal"/>
        <w:bidi w:val="0"/>
        <w:ind w:left="0" w:right="0" w:firstLine="709"/>
        <w:rPr/>
      </w:pPr>
      <w:r>
        <w:rPr/>
        <w:t>Со времени начала проведения процедуры аукциона в электронной форме Организатором размещается:</w:t>
      </w:r>
    </w:p>
    <w:p>
      <w:pPr>
        <w:pStyle w:val="ConsPlusNormal"/>
        <w:bidi w:val="0"/>
        <w:ind w:left="0" w:right="0" w:firstLine="709"/>
        <w:jc w:val="both"/>
        <w:rPr/>
      </w:pPr>
      <w:r>
        <w:rPr>
          <w:rFonts w:cs="Times New Roman" w:ascii="Times New Roman" w:hAnsi="Times New Roman"/>
          <w:b w:val="false"/>
          <w:sz w:val="24"/>
          <w:szCs w:val="24"/>
          <w:lang w:eastAsia="en-US"/>
        </w:rPr>
        <w:t>а) в открытой части электронной площадки - информация о начале проведения процедуры аукциона с указанием наименования имущества, начальной цены и текущего «шага аукциона»;</w:t>
      </w:r>
    </w:p>
    <w:p>
      <w:pPr>
        <w:pStyle w:val="ConsPlusNormal"/>
        <w:bidi w:val="0"/>
        <w:ind w:left="0" w:right="0" w:firstLine="709"/>
        <w:jc w:val="both"/>
        <w:rPr/>
      </w:pPr>
      <w:r>
        <w:rPr>
          <w:rFonts w:cs="Times New Roman" w:ascii="Times New Roman" w:hAnsi="Times New Roman"/>
          <w:b w:val="false"/>
          <w:sz w:val="24"/>
          <w:szCs w:val="24"/>
          <w:lang w:eastAsia="en-US"/>
        </w:rPr>
        <w:t>б) в закрытой части электронной площадки -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(«шаг аукциона»), время, оставшееся до окончания приема предложений о цене имущества.</w:t>
      </w:r>
    </w:p>
    <w:p>
      <w:pPr>
        <w:pStyle w:val="Normal"/>
        <w:bidi w:val="0"/>
        <w:ind w:left="0" w:right="0" w:firstLine="709"/>
        <w:rPr/>
      </w:pPr>
      <w:r>
        <w:rPr/>
        <w:t>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случае, если в течение указанного времени:</w:t>
      </w:r>
    </w:p>
    <w:p>
      <w:pPr>
        <w:pStyle w:val="Normal"/>
        <w:bidi w:val="0"/>
        <w:ind w:left="0" w:right="0" w:firstLine="709"/>
        <w:rPr/>
      </w:pPr>
      <w:r>
        <w:rPr/>
        <w:t>- поступило предложение о начальной цене имущества, то время для представления следующих предложений об увеличенной на «шаг аукциона» цене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>
      <w:pPr>
        <w:pStyle w:val="Normal"/>
        <w:bidi w:val="0"/>
        <w:ind w:left="0" w:right="0" w:firstLine="709"/>
        <w:rPr/>
      </w:pPr>
      <w:r>
        <w:rPr/>
        <w:t>- 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</w:r>
    </w:p>
    <w:p>
      <w:pPr>
        <w:pStyle w:val="Normal"/>
        <w:bidi w:val="0"/>
        <w:ind w:left="0" w:right="0" w:firstLine="709"/>
        <w:rPr/>
      </w:pPr>
      <w:r>
        <w:rPr/>
        <w:t xml:space="preserve"> </w:t>
      </w:r>
      <w:r>
        <w:rPr/>
        <w:t>В ходе проведения подачи предложений о цене имущества Оператор электронной площадки программными средствами электронной площадки обеспечивает отклонение предложения о цене в момент его поступления и соответствующее уведомление Участника, в случае если:</w:t>
      </w:r>
    </w:p>
    <w:p>
      <w:pPr>
        <w:pStyle w:val="Normal"/>
        <w:bidi w:val="0"/>
        <w:ind w:left="0" w:right="0" w:firstLine="709"/>
        <w:rPr/>
      </w:pPr>
      <w:r>
        <w:rPr/>
        <w:t>- предложение о цене предоставлено до начала или по истечении установленного времени для подачи предложений о цене;</w:t>
      </w:r>
    </w:p>
    <w:p>
      <w:pPr>
        <w:pStyle w:val="Normal"/>
        <w:bidi w:val="0"/>
        <w:ind w:left="0" w:right="0" w:firstLine="709"/>
        <w:rPr/>
      </w:pPr>
      <w:r>
        <w:rPr/>
        <w:t>- представленное предложение о цене ниже начальной цены продажи;</w:t>
      </w:r>
    </w:p>
    <w:p>
      <w:pPr>
        <w:pStyle w:val="Normal"/>
        <w:bidi w:val="0"/>
        <w:ind w:left="0" w:right="0" w:firstLine="709"/>
        <w:rPr/>
      </w:pPr>
      <w:r>
        <w:rPr/>
        <w:t>- представленное предложение о цене равно нулю;</w:t>
      </w:r>
    </w:p>
    <w:p>
      <w:pPr>
        <w:pStyle w:val="Normal"/>
        <w:bidi w:val="0"/>
        <w:ind w:left="0" w:right="0" w:firstLine="709"/>
        <w:rPr/>
      </w:pPr>
      <w:r>
        <w:rPr/>
        <w:t>представленное предложение о цене не соответствует увеличению текущей цены в соответствии с «шагом аукциона»;</w:t>
      </w:r>
    </w:p>
    <w:p>
      <w:pPr>
        <w:pStyle w:val="Normal"/>
        <w:bidi w:val="0"/>
        <w:ind w:left="0" w:right="0" w:firstLine="709"/>
        <w:rPr/>
      </w:pPr>
      <w:r>
        <w:rPr/>
        <w:t>- представленное Участником предложение о цене меньше ранее представленных предложений;</w:t>
      </w:r>
    </w:p>
    <w:p>
      <w:pPr>
        <w:pStyle w:val="Normal"/>
        <w:bidi w:val="0"/>
        <w:ind w:left="0" w:right="0" w:firstLine="709"/>
        <w:rPr/>
      </w:pPr>
      <w:r>
        <w:rPr/>
        <w:t>- представленное Участником предложение о цене является лучшим текущим предложением о цене.</w:t>
      </w:r>
    </w:p>
    <w:p>
      <w:pPr>
        <w:pStyle w:val="Normal"/>
        <w:bidi w:val="0"/>
        <w:ind w:left="0" w:right="0" w:firstLine="709"/>
        <w:rPr/>
      </w:pPr>
      <w:r>
        <w:rPr>
          <w:lang w:eastAsia="ru-RU"/>
        </w:rPr>
        <w:t>Победителем аукциона признается участник, предложивший наибольшую цену имущества.</w:t>
      </w:r>
    </w:p>
    <w:p>
      <w:pPr>
        <w:pStyle w:val="Normal"/>
        <w:widowControl w:val="false"/>
        <w:bidi w:val="0"/>
        <w:ind w:left="0" w:right="0" w:firstLine="709"/>
        <w:rPr/>
      </w:pPr>
      <w:r>
        <w:rPr>
          <w:lang w:eastAsia="ru-RU"/>
        </w:rPr>
        <w:t xml:space="preserve">Ход проведения процедуры аукциона фиксируется Оператором электронной площадки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аукциона, который размещается на официальном сайте Российской Федерации для размещения информации о проведении торгов </w:t>
      </w:r>
      <w:hyperlink r:id="rId7">
        <w:r>
          <w:rPr>
            <w:rStyle w:val="Style11"/>
            <w:lang w:val="ru-RU" w:eastAsia="en-US" w:bidi="ar-SA"/>
          </w:rPr>
          <w:t>www.torgi.gov.ru</w:t>
        </w:r>
      </w:hyperlink>
      <w:r>
        <w:rPr>
          <w:lang w:eastAsia="ru-RU"/>
        </w:rPr>
        <w:t xml:space="preserve"> </w:t>
      </w:r>
      <w:r>
        <w:rPr/>
        <w:t>не позднее рабочего дня, следующего за днем подписания указанного протокола.</w:t>
      </w:r>
    </w:p>
    <w:p>
      <w:pPr>
        <w:pStyle w:val="Normal"/>
        <w:numPr>
          <w:ilvl w:val="0"/>
          <w:numId w:val="0"/>
        </w:numPr>
        <w:bidi w:val="0"/>
        <w:ind w:left="0" w:right="0" w:firstLine="709"/>
        <w:outlineLvl w:val="1"/>
        <w:rPr/>
      </w:pPr>
      <w:r>
        <w:rPr>
          <w:lang w:eastAsia="ru-RU"/>
        </w:rPr>
        <w:t>Процедура аукциона считается завершенной с момента подписания Продавцом протокола об итогах аукциона.</w:t>
      </w:r>
    </w:p>
    <w:p>
      <w:pPr>
        <w:pStyle w:val="Normal"/>
        <w:bidi w:val="0"/>
        <w:ind w:left="0" w:right="0" w:firstLine="709"/>
        <w:rPr/>
      </w:pPr>
      <w:r>
        <w:rPr/>
        <w:t>Аукцион признается несостоявшимся в следующих случаях:</w:t>
      </w:r>
    </w:p>
    <w:p>
      <w:pPr>
        <w:pStyle w:val="Normal"/>
        <w:bidi w:val="0"/>
        <w:ind w:left="0" w:right="0" w:firstLine="709"/>
        <w:rPr/>
      </w:pPr>
      <w:r>
        <w:rPr>
          <w:lang w:eastAsia="ru-RU"/>
        </w:rPr>
        <w:t>- не было подано ни одной заявки на участие либо ни один из Претендентов не признан участником;</w:t>
      </w:r>
    </w:p>
    <w:p>
      <w:pPr>
        <w:pStyle w:val="Normal"/>
        <w:bidi w:val="0"/>
        <w:ind w:left="0" w:right="0" w:firstLine="709"/>
        <w:rPr/>
      </w:pPr>
      <w:r>
        <w:rPr>
          <w:lang w:eastAsia="ru-RU"/>
        </w:rPr>
        <w:t>- принято решение о признании только одного Претендента участником;</w:t>
      </w:r>
    </w:p>
    <w:p>
      <w:pPr>
        <w:pStyle w:val="Normal"/>
        <w:bidi w:val="0"/>
        <w:ind w:left="0" w:right="0" w:firstLine="709"/>
        <w:rPr/>
      </w:pPr>
      <w:r>
        <w:rPr>
          <w:lang w:eastAsia="ru-RU"/>
        </w:rPr>
        <w:t>- ни один из участников не сделал предложение о начальной цене имущества.</w:t>
      </w:r>
    </w:p>
    <w:p>
      <w:pPr>
        <w:pStyle w:val="Normal"/>
        <w:bidi w:val="0"/>
        <w:ind w:left="0" w:right="0" w:firstLine="709"/>
        <w:rPr/>
      </w:pPr>
      <w:r>
        <w:rPr>
          <w:lang w:eastAsia="ru-RU"/>
        </w:rPr>
        <w:t>Решение о признании аукциона несостоявшимся оформляется протоколом об итогах аукциона.</w:t>
      </w:r>
    </w:p>
    <w:p>
      <w:pPr>
        <w:pStyle w:val="Normal"/>
        <w:bidi w:val="0"/>
        <w:ind w:left="0" w:right="0" w:firstLine="709"/>
        <w:rPr/>
      </w:pPr>
      <w:r>
        <w:rPr>
          <w:lang w:eastAsia="ru-RU"/>
        </w:rPr>
        <w:t>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протокола, а также размещается в открытой части электронной площадки следующая информация:</w:t>
      </w:r>
    </w:p>
    <w:p>
      <w:pPr>
        <w:pStyle w:val="Normal"/>
        <w:bidi w:val="0"/>
        <w:ind w:left="0" w:right="0" w:firstLine="709"/>
        <w:rPr/>
      </w:pPr>
      <w:r>
        <w:rPr>
          <w:lang w:eastAsia="ru-RU"/>
        </w:rPr>
        <w:t>- наименование имущества и иные позволяющие его индивидуализировать сведения;</w:t>
      </w:r>
    </w:p>
    <w:p>
      <w:pPr>
        <w:pStyle w:val="Normal"/>
        <w:bidi w:val="0"/>
        <w:ind w:left="0" w:right="0" w:firstLine="709"/>
        <w:rPr/>
      </w:pPr>
      <w:r>
        <w:rPr>
          <w:lang w:eastAsia="ru-RU"/>
        </w:rPr>
        <w:t>- цена сделки;</w:t>
      </w:r>
    </w:p>
    <w:p>
      <w:pPr>
        <w:pStyle w:val="ConsPlusNormal"/>
        <w:bidi w:val="0"/>
        <w:ind w:left="0" w:right="0" w:firstLine="709"/>
        <w:jc w:val="both"/>
        <w:rPr/>
      </w:pPr>
      <w:r>
        <w:rPr>
          <w:rFonts w:cs="Times New Roman" w:ascii="Times New Roman" w:hAnsi="Times New Roman"/>
          <w:b w:val="false"/>
          <w:sz w:val="24"/>
          <w:szCs w:val="22"/>
          <w:lang w:eastAsia="en-US"/>
        </w:rPr>
        <w:t>- фамилия, имя, отчество физического лица или наименование юридического лица Победителя</w:t>
      </w:r>
      <w:r>
        <w:rPr>
          <w:rFonts w:cs="Times New Roman" w:ascii="Times New Roman" w:hAnsi="Times New Roman"/>
          <w:b w:val="false"/>
          <w:sz w:val="24"/>
          <w:szCs w:val="24"/>
          <w:lang w:eastAsia="en-US"/>
        </w:rPr>
        <w:t>.</w:t>
      </w:r>
    </w:p>
    <w:p>
      <w:pPr>
        <w:pStyle w:val="Normal"/>
        <w:bidi w:val="0"/>
        <w:ind w:left="0" w:right="0" w:firstLine="708"/>
        <w:rPr>
          <w:rFonts w:ascii="Times New Roman" w:hAnsi="Times New Roman"/>
          <w:b/>
          <w:b/>
        </w:rPr>
      </w:pPr>
      <w:r>
        <w:rPr>
          <w:b/>
        </w:rPr>
      </w:r>
    </w:p>
    <w:p>
      <w:pPr>
        <w:pStyle w:val="Normal"/>
        <w:bidi w:val="0"/>
        <w:ind w:left="0" w:right="0" w:firstLine="708"/>
        <w:rPr/>
      </w:pPr>
      <w:r>
        <w:rPr>
          <w:b/>
        </w:rPr>
        <w:t>6. Срок заключения договора купли-продажи.</w:t>
      </w:r>
    </w:p>
    <w:p>
      <w:pPr>
        <w:pStyle w:val="Normal"/>
        <w:bidi w:val="0"/>
        <w:ind w:left="0" w:right="0" w:firstLine="708"/>
        <w:rPr>
          <w:rFonts w:ascii="Times New Roman" w:hAnsi="Times New Roman"/>
        </w:rPr>
      </w:pPr>
      <w:r>
        <w:rPr/>
      </w:r>
    </w:p>
    <w:p>
      <w:pPr>
        <w:pStyle w:val="Normal"/>
        <w:widowControl w:val="false"/>
        <w:bidi w:val="0"/>
        <w:ind w:left="0" w:right="0" w:firstLine="708"/>
        <w:rPr/>
      </w:pPr>
      <w:r>
        <w:rPr/>
        <w:t xml:space="preserve">Договор купли-продажи имущества, заключается между Продавцом и победителем продажи в соответствии с Гражданским кодексом Российской Федерации, Законом о приватизации в течение 5 рабочих дней со дня подведения итогов аукциона. </w:t>
      </w:r>
    </w:p>
    <w:p>
      <w:pPr>
        <w:pStyle w:val="Normal"/>
        <w:widowControl w:val="false"/>
        <w:bidi w:val="0"/>
        <w:ind w:left="0" w:right="0" w:firstLine="708"/>
        <w:rPr/>
      </w:pPr>
      <w:r>
        <w:rPr/>
        <w:t>Заключение договора в форме электронного документа осуществляется посредством штатного интерфейса торговой секции.</w:t>
      </w:r>
    </w:p>
    <w:p>
      <w:pPr>
        <w:pStyle w:val="Normal"/>
        <w:bidi w:val="0"/>
        <w:ind w:left="0" w:right="0" w:firstLine="708"/>
        <w:rPr/>
      </w:pPr>
      <w:r>
        <w:rPr/>
        <w:t xml:space="preserve">При уклонении или отказе победителя продажи от заключения в установленный срок договора купли-продажи имущества результаты торгов аннулируются Продавцом, победитель утрачивает право на заключение указанного договора, задаток ему не возвращается. </w:t>
      </w:r>
    </w:p>
    <w:p>
      <w:pPr>
        <w:pStyle w:val="Normal"/>
        <w:bidi w:val="0"/>
        <w:ind w:left="0" w:right="0" w:firstLine="708"/>
        <w:rPr/>
      </w:pPr>
      <w:r>
        <w:rPr/>
        <w:t xml:space="preserve">Передача имущества и оформление права собственности на него осуществляются в соответствии с законодательством Российской Федерации и договором купли-продажи имущества не позднее чем через 30 (тридцать) календарных дней после дня оплаты имущества. </w:t>
      </w:r>
    </w:p>
    <w:p>
      <w:pPr>
        <w:pStyle w:val="Normal"/>
        <w:bidi w:val="0"/>
        <w:ind w:left="0" w:right="0" w:firstLine="708"/>
        <w:rPr>
          <w:rFonts w:ascii="Times New Roman" w:hAnsi="Times New Roman"/>
        </w:rPr>
      </w:pPr>
      <w:r>
        <w:rPr/>
      </w:r>
    </w:p>
    <w:p>
      <w:pPr>
        <w:pStyle w:val="Normal"/>
        <w:bidi w:val="0"/>
        <w:ind w:left="0" w:right="0" w:firstLine="708"/>
        <w:rPr/>
      </w:pPr>
      <w:r>
        <w:rPr>
          <w:b/>
        </w:rPr>
        <w:t xml:space="preserve">7. Условия и сроки платежа, реквизиты счетов для оплаты по договору купли-продажи. </w:t>
      </w:r>
    </w:p>
    <w:p>
      <w:pPr>
        <w:pStyle w:val="Normal"/>
        <w:bidi w:val="0"/>
        <w:ind w:left="0" w:right="0" w:firstLine="708"/>
        <w:rPr/>
      </w:pPr>
      <w:r>
        <w:rPr/>
        <w:t xml:space="preserve">Оплата приобретаемого на электронном аукционе имущества производится единовременно в течение 10-ти дней после заключения договора купли-продажи. </w:t>
      </w:r>
    </w:p>
    <w:p>
      <w:pPr>
        <w:pStyle w:val="Normal"/>
        <w:bidi w:val="0"/>
        <w:ind w:left="0" w:right="0" w:firstLine="708"/>
        <w:rPr/>
      </w:pPr>
      <w:r>
        <w:rPr/>
        <w:t xml:space="preserve">Внесенный победителем продажи задаток засчитывается в счет оплаты приобретаемого имущества. </w:t>
      </w:r>
    </w:p>
    <w:p>
      <w:pPr>
        <w:pStyle w:val="Normal"/>
        <w:bidi w:val="0"/>
        <w:ind w:left="0" w:right="0" w:firstLine="708"/>
        <w:rPr/>
      </w:pPr>
      <w:r>
        <w:rPr/>
        <w:t>Оплата приобретенного на торгах имущества производится Покупателем путем перечисления денежных средств на счет продавца, указанный в договоре.</w:t>
      </w:r>
    </w:p>
    <w:p>
      <w:pPr>
        <w:pStyle w:val="Normal"/>
        <w:bidi w:val="0"/>
        <w:ind w:left="0" w:right="0" w:firstLine="708"/>
        <w:rPr/>
      </w:pPr>
      <w:r>
        <w:rPr/>
        <w:t>Факт оплаты имущества подтверждается выпиской со счета, указанного в договоре купли-продажи. Факт уплаты НДС (по объектам недвижимости для юридических лиц и индивидуальных предпринимателей) подтверждается платежным поручением с отметкой банка об исполнении.</w:t>
      </w:r>
    </w:p>
    <w:p>
      <w:pPr>
        <w:pStyle w:val="Normal"/>
        <w:bidi w:val="0"/>
        <w:ind w:left="0" w:right="0" w:firstLine="708"/>
        <w:rPr>
          <w:rFonts w:ascii="Times New Roman" w:hAnsi="Times New Roman"/>
        </w:rPr>
      </w:pPr>
      <w:r>
        <w:rPr/>
      </w:r>
    </w:p>
    <w:p>
      <w:pPr>
        <w:pStyle w:val="Normal"/>
        <w:bidi w:val="0"/>
        <w:ind w:left="0" w:right="0" w:firstLine="708"/>
        <w:rPr/>
      </w:pPr>
      <w:r>
        <w:rPr/>
        <w:t xml:space="preserve">Победитель торгов не вправе уступать права и осуществлять перевод долга по обязательствам, возникшим из заключенного на торгах договора. Обязательства по договору купли-продажи должны быть исполнены победителем торгов лично. </w:t>
      </w:r>
    </w:p>
    <w:p>
      <w:pPr>
        <w:pStyle w:val="Normal"/>
        <w:bidi w:val="0"/>
        <w:ind w:left="0" w:right="0" w:firstLine="708"/>
        <w:rPr>
          <w:rFonts w:ascii="Times New Roman" w:hAnsi="Times New Roman"/>
        </w:rPr>
      </w:pPr>
      <w:r>
        <w:rPr/>
      </w:r>
    </w:p>
    <w:p>
      <w:pPr>
        <w:pStyle w:val="Normal"/>
        <w:bidi w:val="0"/>
        <w:ind w:left="0" w:right="0" w:firstLine="708"/>
        <w:rPr/>
      </w:pPr>
      <w:r>
        <w:rPr>
          <w:b/>
        </w:rPr>
        <w:t xml:space="preserve">8. Ограничения участия отдельных категорий физических лиц и юридических лиц в приватизации муниципального имущества. </w:t>
      </w:r>
    </w:p>
    <w:p>
      <w:pPr>
        <w:pStyle w:val="Normal"/>
        <w:bidi w:val="0"/>
        <w:ind w:left="0" w:right="0" w:firstLine="708"/>
        <w:rPr>
          <w:rFonts w:ascii="Times New Roman" w:hAnsi="Times New Roman"/>
          <w:b/>
          <w:b/>
          <w:color w:val="FF0000"/>
        </w:rPr>
      </w:pPr>
      <w:r>
        <w:rPr>
          <w:b/>
          <w:color w:val="FF0000"/>
        </w:rPr>
      </w:r>
    </w:p>
    <w:p>
      <w:pPr>
        <w:pStyle w:val="Normal"/>
        <w:bidi w:val="0"/>
        <w:ind w:left="0" w:right="0" w:firstLine="708"/>
        <w:rPr/>
      </w:pPr>
      <w:r>
        <w:rPr/>
        <w:t xml:space="preserve">Покупателями государственного и муниципального имущества могут быть любые физические и юридические лица, за исключением: </w:t>
      </w:r>
    </w:p>
    <w:p>
      <w:pPr>
        <w:pStyle w:val="Normal"/>
        <w:bidi w:val="0"/>
        <w:ind w:left="0" w:right="0" w:firstLine="708"/>
        <w:rPr/>
      </w:pPr>
      <w:r>
        <w:rPr/>
        <w:t>государственных и муниципальных унитарных предприятий, государственных и муниципальных учреждений;</w:t>
      </w:r>
    </w:p>
    <w:p>
      <w:pPr>
        <w:pStyle w:val="Normal"/>
        <w:bidi w:val="0"/>
        <w:ind w:left="0" w:right="0" w:firstLine="708"/>
        <w:rPr/>
      </w:pPr>
      <w:r>
        <w:rPr/>
        <w:t xml:space="preserve"> </w:t>
      </w:r>
      <w:r>
        <w:rPr/>
        <w:t xml:space="preserve">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</w:t>
      </w:r>
      <w:hyperlink r:id="rId8">
        <w:r>
          <w:rPr>
            <w:rStyle w:val="ListLabel22"/>
          </w:rPr>
          <w:t>перечень</w:t>
        </w:r>
      </w:hyperlink>
      <w:r>
        <w:rPr/>
        <w:t xml:space="preserve">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Правительством Российской Федерации.</w:t>
      </w:r>
    </w:p>
    <w:p>
      <w:pPr>
        <w:pStyle w:val="Normal"/>
        <w:bidi w:val="0"/>
        <w:ind w:left="0" w:right="0" w:firstLine="708"/>
        <w:rPr/>
      </w:pPr>
      <w:r>
        <w:rPr/>
        <w:t xml:space="preserve">В случае, если впоследствии будет установлено, что покупатель муниципального имущества не имел законное право на его приобретение, соответствующая сделка является ничтожной. </w:t>
      </w:r>
    </w:p>
    <w:p>
      <w:pPr>
        <w:pStyle w:val="Normal"/>
        <w:bidi w:val="0"/>
        <w:ind w:left="0" w:right="0" w:firstLine="708"/>
        <w:rPr>
          <w:rFonts w:ascii="Times New Roman" w:hAnsi="Times New Roman"/>
          <w:highlight w:val="yellow"/>
        </w:rPr>
      </w:pPr>
      <w:r>
        <w:rPr>
          <w:highlight w:val="yellow"/>
        </w:rPr>
      </w:r>
    </w:p>
    <w:p>
      <w:pPr>
        <w:pStyle w:val="Normal"/>
        <w:bidi w:val="0"/>
        <w:ind w:left="0" w:right="0" w:firstLine="708"/>
        <w:rPr/>
      </w:pPr>
      <w:r>
        <w:rPr>
          <w:b/>
        </w:rPr>
        <w:t>9. Сведения обо всех предыдущих торгах по продаже такого имущества, объявленных в течение года, предшествующего его продаже, и об итогах торгов по продаже такого имущества.</w:t>
      </w:r>
    </w:p>
    <w:p>
      <w:pPr>
        <w:pStyle w:val="Normal"/>
        <w:bidi w:val="0"/>
        <w:ind w:left="0" w:right="0" w:hanging="0"/>
        <w:rPr>
          <w:rFonts w:ascii="Times New Roman" w:hAnsi="Times New Roman"/>
          <w:b/>
          <w:b/>
          <w:highlight w:val="yellow"/>
        </w:rPr>
      </w:pPr>
      <w:r>
        <w:rPr>
          <w:b/>
          <w:highlight w:val="yellow"/>
        </w:rPr>
      </w:r>
    </w:p>
    <w:p>
      <w:pPr>
        <w:pStyle w:val="Normal"/>
        <w:bidi w:val="0"/>
        <w:ind w:left="0" w:right="0" w:hanging="0"/>
        <w:rPr/>
      </w:pPr>
      <w:r>
        <w:rPr/>
        <w:t>Ранее имущество на торги не выставлялось.</w:t>
      </w:r>
    </w:p>
    <w:p>
      <w:pPr>
        <w:pStyle w:val="Normal"/>
        <w:bidi w:val="0"/>
        <w:ind w:left="0" w:right="0" w:hanging="0"/>
        <w:rPr>
          <w:rFonts w:ascii="Times New Roman" w:hAnsi="Times New Roman"/>
          <w:highlight w:val="yellow"/>
        </w:rPr>
      </w:pPr>
      <w:r>
        <w:rPr>
          <w:highlight w:val="yellow"/>
        </w:rPr>
      </w:r>
    </w:p>
    <w:p>
      <w:pPr>
        <w:pStyle w:val="Normal"/>
        <w:bidi w:val="0"/>
        <w:spacing w:lineRule="auto" w:line="276"/>
        <w:ind w:left="0" w:right="0" w:firstLine="284"/>
        <w:rPr/>
      </w:pPr>
      <w:r>
        <w:rPr/>
        <w:t>Приложение 1. Заявка (образец электронной формы заявки - заполняется на площадке),</w:t>
      </w:r>
    </w:p>
    <w:p>
      <w:pPr>
        <w:pStyle w:val="Normal"/>
        <w:bidi w:val="0"/>
        <w:spacing w:lineRule="auto" w:line="276"/>
        <w:ind w:left="0" w:right="0" w:firstLine="284"/>
        <w:rPr/>
      </w:pPr>
      <w:r>
        <w:rPr/>
        <w:t>Приложение 2. Опись представляемых документов,</w:t>
      </w:r>
    </w:p>
    <w:p>
      <w:pPr>
        <w:pStyle w:val="Normal"/>
        <w:bidi w:val="0"/>
        <w:spacing w:lineRule="auto" w:line="276"/>
        <w:ind w:left="0" w:right="0" w:firstLine="284"/>
        <w:rPr/>
      </w:pPr>
      <w:r>
        <w:rPr/>
        <w:t>Приложение 3. Проект договора купли-продажи по лоту № 1,</w:t>
      </w:r>
    </w:p>
    <w:sectPr>
      <w:footerReference w:type="default" r:id="rId9"/>
      <w:type w:val="nextPage"/>
      <w:pgSz w:w="11906" w:h="16838"/>
      <w:pgMar w:left="1134" w:right="991" w:header="0" w:top="851" w:footer="708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cc"/>
    <w:family w:val="roman"/>
    <w:pitch w:val="variable"/>
  </w:font>
  <w:font w:name="Cambria">
    <w:charset w:val="cc"/>
    <w:family w:val="roman"/>
    <w:pitch w:val="variable"/>
  </w:font>
  <w:font w:name="Arial">
    <w:charset w:val="cc"/>
    <w:family w:val="roman"/>
    <w:pitch w:val="variable"/>
  </w:font>
  <w:font w:name="Courier New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Arial CYR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4"/>
      <w:widowControl/>
      <w:tabs>
        <w:tab w:val="center" w:pos="4677" w:leader="none"/>
        <w:tab w:val="right" w:pos="9355" w:leader="none"/>
      </w:tabs>
      <w:bidi w:val="0"/>
      <w:ind w:left="0" w:right="0" w:hanging="0"/>
      <w:jc w:val="center"/>
      <w:textAlignment w:val="auto"/>
      <w:rPr/>
    </w:pPr>
    <w:r>
      <w:rPr>
        <w:rFonts w:cs="Times New Roman"/>
        <w:sz w:val="24"/>
        <w:szCs w:val="24"/>
        <w:lang w:val="ru-RU" w:eastAsia="ru-RU" w:bidi="ar-SA"/>
      </w:rPr>
      <w:fldChar w:fldCharType="begin"/>
    </w:r>
    <w:r>
      <w:rPr>
        <w:sz w:val="24"/>
        <w:szCs w:val="24"/>
        <w:rFonts w:cs="Times New Roman"/>
      </w:rPr>
      <w:instrText> PAGE </w:instrText>
    </w:r>
    <w:r>
      <w:rPr>
        <w:sz w:val="24"/>
        <w:szCs w:val="24"/>
        <w:rFonts w:cs="Times New Roman"/>
      </w:rPr>
      <w:fldChar w:fldCharType="separate"/>
    </w:r>
    <w:r>
      <w:rPr>
        <w:sz w:val="24"/>
        <w:szCs w:val="24"/>
        <w:rFonts w:cs="Times New Roman"/>
      </w:rPr>
      <w:t>10</w:t>
    </w:r>
    <w:r>
      <w:rPr>
        <w:sz w:val="24"/>
        <w:szCs w:val="24"/>
        <w:rFonts w:cs="Times New Roman"/>
      </w:rPr>
      <w:fldChar w:fldCharType="end"/>
    </w:r>
  </w:p>
  <w:p>
    <w:pPr>
      <w:pStyle w:val="Style24"/>
      <w:widowControl/>
      <w:tabs>
        <w:tab w:val="center" w:pos="4677" w:leader="none"/>
        <w:tab w:val="right" w:pos="9355" w:leader="none"/>
      </w:tabs>
      <w:bidi w:val="0"/>
      <w:ind w:left="0" w:right="0" w:hanging="0"/>
      <w:jc w:val="both"/>
      <w:textAlignment w:val="auto"/>
      <w:rPr>
        <w:rFonts w:ascii="Times New Roman" w:hAnsi="Times New Roman" w:cs="Times New Roman"/>
        <w:sz w:val="24"/>
        <w:szCs w:val="24"/>
        <w:lang w:val="ru-RU" w:eastAsia="en-US" w:bidi="ar-SA"/>
      </w:rPr>
    </w:pPr>
    <w:r>
      <w:rPr>
        <w:rFonts w:cs="Times New Roman"/>
        <w:sz w:val="24"/>
        <w:szCs w:val="24"/>
        <w:lang w:val="ru-RU" w:eastAsia="en-US" w:bidi="ar-SA"/>
      </w:rPr>
    </w:r>
  </w:p>
</w:ftr>
</file>

<file path=word/settings.xml><?xml version="1.0" encoding="utf-8"?>
<w:settings xmlns:w="http://schemas.openxmlformats.org/wordprocessingml/2006/main">
  <w:zoom w:percent="100"/>
  <w:defaultTabStop w:val="708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kern w:val="2"/>
        <w:szCs w:val="24"/>
        <w:lang w:val="ru-RU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jc w:val="both"/>
      <w:textAlignment w:val="auto"/>
    </w:pPr>
    <w:rPr>
      <w:rFonts w:ascii="Times New Roman" w:hAnsi="Times New Roman" w:eastAsia="Courier New" w:cs="Times New Roman"/>
      <w:color w:val="auto"/>
      <w:kern w:val="2"/>
      <w:sz w:val="24"/>
      <w:szCs w:val="24"/>
      <w:lang w:val="ru-RU" w:eastAsia="en-US" w:bidi="ar-SA"/>
    </w:rPr>
  </w:style>
  <w:style w:type="paragraph" w:styleId="1">
    <w:name w:val="Heading 1"/>
    <w:basedOn w:val="Normal"/>
    <w:qFormat/>
    <w:pPr>
      <w:keepNext w:val="true"/>
      <w:keepLines/>
      <w:spacing w:before="480" w:after="0"/>
      <w:outlineLvl w:val="0"/>
    </w:pPr>
    <w:rPr>
      <w:rFonts w:ascii="Cambria" w:hAnsi="Cambria" w:eastAsia="Times New Roman" w:cs="Cambria"/>
      <w:b/>
      <w:bCs/>
      <w:color w:val="365F91"/>
      <w:sz w:val="28"/>
      <w:szCs w:val="28"/>
    </w:rPr>
  </w:style>
  <w:style w:type="paragraph" w:styleId="4">
    <w:name w:val="Heading 4"/>
    <w:basedOn w:val="Normal"/>
    <w:qFormat/>
    <w:pPr>
      <w:spacing w:beforeAutospacing="1" w:afterAutospacing="1"/>
      <w:jc w:val="left"/>
      <w:outlineLvl w:val="3"/>
    </w:pPr>
    <w:rPr>
      <w:rFonts w:ascii="Arial" w:hAnsi="Arial" w:cs="Arial"/>
      <w:b/>
      <w:color w:val="000000"/>
      <w:lang w:eastAsia="ru-RU"/>
    </w:rPr>
  </w:style>
  <w:style w:type="paragraph" w:styleId="5">
    <w:name w:val="Heading 5"/>
    <w:basedOn w:val="Normal"/>
    <w:qFormat/>
    <w:pPr>
      <w:spacing w:before="240" w:after="60"/>
      <w:jc w:val="left"/>
      <w:outlineLvl w:val="4"/>
    </w:pPr>
    <w:rPr>
      <w:b/>
      <w:bCs/>
      <w:i/>
      <w:iCs/>
      <w:sz w:val="26"/>
      <w:szCs w:val="26"/>
      <w:lang w:eastAsia="ru-RU"/>
    </w:rPr>
  </w:style>
  <w:style w:type="character" w:styleId="DefaultParagraphFont">
    <w:name w:val="Default Paragraph Font"/>
    <w:qFormat/>
    <w:rPr/>
  </w:style>
  <w:style w:type="character" w:styleId="11">
    <w:name w:val="Заголовок 1 Знак"/>
    <w:basedOn w:val="DefaultParagraphFont"/>
    <w:qFormat/>
    <w:rPr>
      <w:rFonts w:ascii="Cambria" w:hAnsi="Cambria" w:eastAsia="Times New Roman" w:cs="Cambria"/>
      <w:b/>
      <w:bCs/>
      <w:color w:val="365F91"/>
      <w:sz w:val="28"/>
      <w:szCs w:val="28"/>
    </w:rPr>
  </w:style>
  <w:style w:type="character" w:styleId="41">
    <w:name w:val="Заголовок 4 Знак"/>
    <w:basedOn w:val="DefaultParagraphFont"/>
    <w:qFormat/>
    <w:rPr>
      <w:rFonts w:ascii="Arial" w:hAnsi="Arial" w:cs="Arial"/>
      <w:color w:val="000000"/>
      <w:lang w:eastAsia="ru-RU"/>
    </w:rPr>
  </w:style>
  <w:style w:type="character" w:styleId="51">
    <w:name w:val="Заголовок 5 Знак"/>
    <w:basedOn w:val="DefaultParagraphFont"/>
    <w:qFormat/>
    <w:rPr>
      <w:rFonts w:eastAsia="Times New Roman"/>
      <w:b/>
      <w:bCs/>
      <w:i/>
      <w:iCs/>
      <w:sz w:val="26"/>
      <w:szCs w:val="26"/>
      <w:lang w:eastAsia="ru-RU"/>
    </w:rPr>
  </w:style>
  <w:style w:type="character" w:styleId="Style11">
    <w:name w:val="Интернет-ссылка"/>
    <w:basedOn w:val="DefaultParagraphFont"/>
    <w:rPr>
      <w:color w:val="0000FF"/>
      <w:u w:val="single"/>
    </w:rPr>
  </w:style>
  <w:style w:type="character" w:styleId="2">
    <w:name w:val="Основной текст 2 Знак"/>
    <w:basedOn w:val="DefaultParagraphFont"/>
    <w:qFormat/>
    <w:rPr>
      <w:rFonts w:eastAsia="Times New Roman"/>
      <w:sz w:val="20"/>
      <w:szCs w:val="20"/>
      <w:lang w:eastAsia="ru-RU"/>
    </w:rPr>
  </w:style>
  <w:style w:type="character" w:styleId="Style12">
    <w:name w:val="Выделение"/>
    <w:basedOn w:val="DefaultParagraphFont"/>
    <w:qFormat/>
    <w:rPr>
      <w:i/>
      <w:iCs/>
      <w:sz w:val="20"/>
      <w:szCs w:val="20"/>
    </w:rPr>
  </w:style>
  <w:style w:type="character" w:styleId="Strong">
    <w:name w:val="Strong"/>
    <w:basedOn w:val="DefaultParagraphFont"/>
    <w:qFormat/>
    <w:rPr>
      <w:b/>
      <w:bCs/>
    </w:rPr>
  </w:style>
  <w:style w:type="character" w:styleId="Style13">
    <w:name w:val="Текст Знак"/>
    <w:basedOn w:val="DefaultParagraphFont"/>
    <w:qFormat/>
    <w:rPr>
      <w:rFonts w:ascii="Courier New" w:hAnsi="Courier New"/>
      <w:sz w:val="20"/>
      <w:szCs w:val="20"/>
      <w:lang w:eastAsia="ru-RU"/>
    </w:rPr>
  </w:style>
  <w:style w:type="character" w:styleId="Style14">
    <w:name w:val="Текст выноски Знак"/>
    <w:basedOn w:val="DefaultParagraphFont"/>
    <w:qFormat/>
    <w:rPr>
      <w:rFonts w:ascii="Segoe UI" w:hAnsi="Segoe UI" w:cs="Segoe UI"/>
      <w:sz w:val="18"/>
      <w:szCs w:val="18"/>
    </w:rPr>
  </w:style>
  <w:style w:type="character" w:styleId="Style15">
    <w:name w:val="Верхний колонтитул Знак"/>
    <w:basedOn w:val="DefaultParagraphFont"/>
    <w:qFormat/>
    <w:rPr/>
  </w:style>
  <w:style w:type="character" w:styleId="Style16">
    <w:name w:val="Нижний колонтитул Знак"/>
    <w:basedOn w:val="DefaultParagraphFont"/>
    <w:qFormat/>
    <w:rPr/>
  </w:style>
  <w:style w:type="character" w:styleId="Style17">
    <w:name w:val="Основной текст Знак"/>
    <w:basedOn w:val="DefaultParagraphFont"/>
    <w:qFormat/>
    <w:rPr/>
  </w:style>
  <w:style w:type="character" w:styleId="ListLabel1">
    <w:name w:val="ListLabel 1"/>
    <w:qFormat/>
    <w:rPr>
      <w:rFonts w:eastAsia="Times New Roman" w:cs="Times New Roman"/>
    </w:rPr>
  </w:style>
  <w:style w:type="character" w:styleId="ListLabel2">
    <w:name w:val="ListLabel 2"/>
    <w:qFormat/>
    <w:rPr>
      <w:rFonts w:cs="Times New Roman"/>
    </w:rPr>
  </w:style>
  <w:style w:type="character" w:styleId="ListLabel3">
    <w:name w:val="ListLabel 3"/>
    <w:qFormat/>
    <w:rPr>
      <w:rFonts w:cs="Times New Roman"/>
    </w:rPr>
  </w:style>
  <w:style w:type="character" w:styleId="ListLabel4">
    <w:name w:val="ListLabel 4"/>
    <w:qFormat/>
    <w:rPr>
      <w:rFonts w:cs="Times New Roman"/>
    </w:rPr>
  </w:style>
  <w:style w:type="character" w:styleId="ListLabel5">
    <w:name w:val="ListLabel 5"/>
    <w:qFormat/>
    <w:rPr>
      <w:rFonts w:cs="Times New Roman"/>
    </w:rPr>
  </w:style>
  <w:style w:type="character" w:styleId="ListLabel6">
    <w:name w:val="ListLabel 6"/>
    <w:qFormat/>
    <w:rPr>
      <w:rFonts w:cs="Times New Roman"/>
    </w:rPr>
  </w:style>
  <w:style w:type="character" w:styleId="ListLabel7">
    <w:name w:val="ListLabel 7"/>
    <w:qFormat/>
    <w:rPr>
      <w:rFonts w:cs="Times New Roman"/>
    </w:rPr>
  </w:style>
  <w:style w:type="character" w:styleId="ListLabel8">
    <w:name w:val="ListLabel 8"/>
    <w:qFormat/>
    <w:rPr>
      <w:rFonts w:cs="Times New Roman"/>
    </w:rPr>
  </w:style>
  <w:style w:type="character" w:styleId="ListLabel9">
    <w:name w:val="ListLabel 9"/>
    <w:qFormat/>
    <w:rPr>
      <w:rFonts w:cs="Times New Roman"/>
    </w:rPr>
  </w:style>
  <w:style w:type="character" w:styleId="ListLabel10">
    <w:name w:val="ListLabel 10"/>
    <w:qFormat/>
    <w:rPr>
      <w:rFonts w:cs="Times New Roman"/>
    </w:rPr>
  </w:style>
  <w:style w:type="character" w:styleId="ListLabel11">
    <w:name w:val="ListLabel 11"/>
    <w:qFormat/>
    <w:rPr>
      <w:rFonts w:cs="Times New Roman"/>
    </w:rPr>
  </w:style>
  <w:style w:type="character" w:styleId="ListLabel12">
    <w:name w:val="ListLabel 12"/>
    <w:qFormat/>
    <w:rPr>
      <w:rFonts w:cs="Times New Roman"/>
    </w:rPr>
  </w:style>
  <w:style w:type="character" w:styleId="ListLabel13">
    <w:name w:val="ListLabel 13"/>
    <w:qFormat/>
    <w:rPr>
      <w:rFonts w:cs="Times New Roman"/>
    </w:rPr>
  </w:style>
  <w:style w:type="character" w:styleId="ListLabel14">
    <w:name w:val="ListLabel 14"/>
    <w:qFormat/>
    <w:rPr>
      <w:rFonts w:cs="Times New Roman"/>
    </w:rPr>
  </w:style>
  <w:style w:type="character" w:styleId="ListLabel15">
    <w:name w:val="ListLabel 15"/>
    <w:qFormat/>
    <w:rPr>
      <w:rFonts w:cs="Times New Roman"/>
    </w:rPr>
  </w:style>
  <w:style w:type="character" w:styleId="ListLabel16">
    <w:name w:val="ListLabel 16"/>
    <w:qFormat/>
    <w:rPr>
      <w:rFonts w:cs="Times New Roman"/>
    </w:rPr>
  </w:style>
  <w:style w:type="character" w:styleId="ListLabel17">
    <w:name w:val="ListLabel 17"/>
    <w:qFormat/>
    <w:rPr>
      <w:rFonts w:cs="Times New Roman"/>
    </w:rPr>
  </w:style>
  <w:style w:type="character" w:styleId="ListLabel18">
    <w:name w:val="ListLabel 18"/>
    <w:qFormat/>
    <w:rPr>
      <w:rFonts w:cs="Times New Roman"/>
    </w:rPr>
  </w:style>
  <w:style w:type="character" w:styleId="ListLabel19">
    <w:name w:val="ListLabel 19"/>
    <w:qFormat/>
    <w:rPr>
      <w:rFonts w:cs="Times New Roman"/>
    </w:rPr>
  </w:style>
  <w:style w:type="character" w:styleId="ListLabel20">
    <w:name w:val="ListLabel 20"/>
    <w:qFormat/>
    <w:rPr>
      <w:rFonts w:ascii="Times New Roman" w:hAnsi="Times New Roman"/>
      <w:lang w:val="ru-RU" w:eastAsia="en-US" w:bidi="ar-SA"/>
    </w:rPr>
  </w:style>
  <w:style w:type="character" w:styleId="ListLabel21">
    <w:name w:val="ListLabel 21"/>
    <w:qFormat/>
    <w:rPr>
      <w:rFonts w:ascii="Times New Roman" w:hAnsi="Times New Roman"/>
      <w:lang w:val="en-US"/>
    </w:rPr>
  </w:style>
  <w:style w:type="character" w:styleId="ListLabel22">
    <w:name w:val="ListLabel 22"/>
    <w:qFormat/>
    <w:rPr>
      <w:rFonts w:ascii="Times New Roman" w:hAnsi="Times New Roman"/>
    </w:rPr>
  </w:style>
  <w:style w:type="character" w:styleId="ListLabel23">
    <w:name w:val="ListLabel 23"/>
    <w:qFormat/>
    <w:rPr>
      <w:rFonts w:ascii="Times New Roman" w:hAnsi="Times New Roman" w:cs="Times New Roman"/>
      <w:b w:val="false"/>
      <w:sz w:val="24"/>
      <w:szCs w:val="24"/>
      <w:lang w:eastAsia="en-US"/>
    </w:rPr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9">
    <w:name w:val="Body Text"/>
    <w:basedOn w:val="Normal"/>
    <w:pPr>
      <w:spacing w:before="0" w:after="120"/>
    </w:pPr>
    <w:rPr/>
  </w:style>
  <w:style w:type="paragraph" w:styleId="Style20">
    <w:name w:val="List"/>
    <w:basedOn w:val="Style19"/>
    <w:pPr/>
    <w:rPr>
      <w:rFonts w:cs="Arial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Arial"/>
    </w:rPr>
  </w:style>
  <w:style w:type="paragraph" w:styleId="DocumentMap">
    <w:name w:val="DocumentMap"/>
    <w:qFormat/>
    <w:pPr>
      <w:widowControl/>
      <w:jc w:val="both"/>
      <w:textAlignment w:val="auto"/>
    </w:pPr>
    <w:rPr>
      <w:rFonts w:ascii="Times New Roman" w:hAnsi="Times New Roman" w:eastAsia="Courier New" w:cs="Times New Roman"/>
      <w:color w:val="auto"/>
      <w:kern w:val="2"/>
      <w:sz w:val="24"/>
      <w:szCs w:val="24"/>
      <w:lang w:val="ru-RU" w:eastAsia="en-US" w:bidi="ar-SA"/>
    </w:rPr>
  </w:style>
  <w:style w:type="paragraph" w:styleId="NormalWeb">
    <w:name w:val="Normal (Web)"/>
    <w:basedOn w:val="Normal"/>
    <w:qFormat/>
    <w:pPr>
      <w:spacing w:before="74" w:after="74"/>
      <w:ind w:left="74" w:right="74" w:hanging="0"/>
      <w:jc w:val="left"/>
    </w:pPr>
    <w:rPr>
      <w:rFonts w:ascii="Arial CYR" w:hAnsi="Arial CYR" w:cs="Arial CYR"/>
      <w:b/>
      <w:color w:val="000000"/>
      <w:sz w:val="30"/>
      <w:szCs w:val="30"/>
      <w:lang w:eastAsia="ru-RU"/>
    </w:rPr>
  </w:style>
  <w:style w:type="paragraph" w:styleId="BodyText2">
    <w:name w:val="Body Text 2"/>
    <w:basedOn w:val="Normal"/>
    <w:qFormat/>
    <w:pPr>
      <w:spacing w:lineRule="auto" w:line="480" w:before="0" w:after="120"/>
      <w:jc w:val="left"/>
    </w:pPr>
    <w:rPr>
      <w:b/>
      <w:sz w:val="20"/>
      <w:szCs w:val="20"/>
      <w:lang w:eastAsia="ru-RU"/>
    </w:rPr>
  </w:style>
  <w:style w:type="paragraph" w:styleId="ConsPlusNormal">
    <w:name w:val="ConsPlusNormal"/>
    <w:qFormat/>
    <w:pPr>
      <w:widowControl w:val="false"/>
      <w:jc w:val="left"/>
      <w:textAlignment w:val="auto"/>
    </w:pPr>
    <w:rPr>
      <w:rFonts w:ascii="Arial" w:hAnsi="Arial" w:eastAsia="Courier New" w:cs="Arial"/>
      <w:b/>
      <w:color w:val="auto"/>
      <w:kern w:val="2"/>
      <w:sz w:val="20"/>
      <w:szCs w:val="20"/>
      <w:lang w:val="ru-RU" w:eastAsia="ru-RU" w:bidi="ar-SA"/>
    </w:rPr>
  </w:style>
  <w:style w:type="paragraph" w:styleId="TextBoldCenter">
    <w:name w:val="TextBoldCenter"/>
    <w:basedOn w:val="Normal"/>
    <w:qFormat/>
    <w:pPr>
      <w:spacing w:before="283" w:after="0"/>
      <w:jc w:val="center"/>
    </w:pPr>
    <w:rPr>
      <w:b/>
      <w:bCs/>
      <w:sz w:val="26"/>
      <w:szCs w:val="26"/>
      <w:lang w:eastAsia="ru-RU"/>
    </w:rPr>
  </w:style>
  <w:style w:type="paragraph" w:styleId="ConsPlusNonformat">
    <w:name w:val="ConsPlusNonformat"/>
    <w:qFormat/>
    <w:pPr>
      <w:widowControl w:val="false"/>
      <w:jc w:val="left"/>
      <w:textAlignment w:val="auto"/>
    </w:pPr>
    <w:rPr>
      <w:rFonts w:ascii="Courier New" w:hAnsi="Courier New" w:eastAsia="Courier New" w:cs="Courier New"/>
      <w:color w:val="auto"/>
      <w:kern w:val="2"/>
      <w:sz w:val="20"/>
      <w:szCs w:val="20"/>
      <w:lang w:val="ru-RU" w:eastAsia="ru-RU" w:bidi="ar-SA"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  <w:jc w:val="left"/>
    </w:pPr>
    <w:rPr>
      <w:sz w:val="20"/>
      <w:szCs w:val="20"/>
      <w:lang w:eastAsia="ru-RU"/>
    </w:rPr>
  </w:style>
  <w:style w:type="paragraph" w:styleId="PlainText">
    <w:name w:val="Plain Text"/>
    <w:basedOn w:val="Normal"/>
    <w:qFormat/>
    <w:pPr>
      <w:jc w:val="left"/>
    </w:pPr>
    <w:rPr>
      <w:rFonts w:ascii="Courier New" w:hAnsi="Courier New"/>
      <w:sz w:val="20"/>
      <w:szCs w:val="20"/>
      <w:lang w:eastAsia="ru-RU"/>
    </w:rPr>
  </w:style>
  <w:style w:type="paragraph" w:styleId="TableGrid">
    <w:name w:val="Table Grid"/>
    <w:basedOn w:val="DocumentMap"/>
    <w:qFormat/>
    <w:pPr/>
    <w:rPr/>
  </w:style>
  <w:style w:type="paragraph" w:styleId="BalloonText">
    <w:name w:val="Balloon Text"/>
    <w:basedOn w:val="Normal"/>
    <w:qFormat/>
    <w:pPr/>
    <w:rPr>
      <w:rFonts w:ascii="Segoe UI" w:hAnsi="Segoe UI" w:cs="Segoe UI"/>
      <w:sz w:val="18"/>
      <w:szCs w:val="18"/>
    </w:rPr>
  </w:style>
  <w:style w:type="paragraph" w:styleId="12">
    <w:name w:val="Обычный1"/>
    <w:qFormat/>
    <w:pPr>
      <w:widowControl/>
      <w:jc w:val="left"/>
      <w:textAlignment w:val="auto"/>
    </w:pPr>
    <w:rPr>
      <w:rFonts w:ascii="Times New Roman" w:hAnsi="Times New Roman" w:eastAsia="Courier New" w:cs="Times New Roman"/>
      <w:color w:val="auto"/>
      <w:kern w:val="2"/>
      <w:sz w:val="20"/>
      <w:szCs w:val="20"/>
      <w:lang w:val="ru-RU" w:eastAsia="ru-RU" w:bidi="ar-SA"/>
    </w:rPr>
  </w:style>
  <w:style w:type="paragraph" w:styleId="Style23">
    <w:name w:val="Head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4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utp.sberbankast.ru/AP/Notice/1027/Instructions" TargetMode="External"/><Relationship Id="rId3" Type="http://schemas.openxmlformats.org/officeDocument/2006/relationships/hyperlink" Target="mailto:kumi-zakaz@admnet.kamensktel.ru" TargetMode="External"/><Relationship Id="rId4" Type="http://schemas.openxmlformats.org/officeDocument/2006/relationships/hyperlink" Target="mailto:property@sberbank-ast.ru" TargetMode="External"/><Relationship Id="rId5" Type="http://schemas.openxmlformats.org/officeDocument/2006/relationships/hyperlink" Target="http://www.torgi.gov.ru/" TargetMode="External"/><Relationship Id="rId6" Type="http://schemas.openxmlformats.org/officeDocument/2006/relationships/hyperlink" Target="https://imush.kamensk-uralskiy.ru/" TargetMode="External"/><Relationship Id="rId7" Type="http://schemas.openxmlformats.org/officeDocument/2006/relationships/hyperlink" Target="http://www.torgi.gov.ru/" TargetMode="External"/><Relationship Id="rId8" Type="http://schemas.openxmlformats.org/officeDocument/2006/relationships/hyperlink" Target="consultantplus://offline/ref=6DEBC0B9BB72C6C4C5987D8D201AD66F4B13782ABE38A2466AE4A7D1944294E1B35D94UFDEJ" TargetMode="Externa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Neat_Office/6.2.8.2$Windows_x86 LibreOffice_project/</Application>
  <Pages>12</Pages>
  <Words>3083</Words>
  <Characters>21878</Characters>
  <CharactersWithSpaces>24870</CharactersWithSpaces>
  <Paragraphs>170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2022-06-15T11:06:00Z</dcterms:created>
  <dc:creator>Goikhman</dc:creator>
  <dc:description/>
  <dc:language>ru-RU</dc:language>
  <cp:lastModifiedBy/>
  <cp:lastPrinted>2022-06-15T16:00:00Z</cp:lastPrinted>
  <dcterms:modified xsi:type="dcterms:W3CDTF">2022-06-16T14:42:00Z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Microsoft</vt:lpwstr>
  </property>
  <property fmtid="{D5CDD505-2E9C-101B-9397-08002B2CF9AE}" pid="3" name="Operator">
    <vt:lpwstr>Пользователь</vt:lpwstr>
  </property>
</Properties>
</file>