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 w:val="false"/>
        <w:bidi w:val="0"/>
        <w:spacing w:before="480" w:after="0"/>
        <w:ind w:left="0" w:right="0" w:hanging="0"/>
        <w:jc w:val="center"/>
        <w:rPr/>
      </w:pPr>
      <w:r>
        <w:rPr>
          <w:rFonts w:cs="Times New Roman" w:ascii="Times New Roman" w:hAnsi="Times New Roman"/>
          <w:b w:val="false"/>
          <w:color w:val="auto"/>
        </w:rPr>
        <w:t xml:space="preserve">ИНФОРМАЦИОННОЕ СООБЩЕНИЕ </w:t>
      </w:r>
    </w:p>
    <w:p>
      <w:pPr>
        <w:pStyle w:val="Normal"/>
        <w:widowControl w:val="false"/>
        <w:pBdr>
          <w:bottom w:val="single" w:sz="12" w:space="1" w:color="000000"/>
        </w:pBdr>
        <w:bidi w:val="0"/>
        <w:ind w:left="0" w:right="0" w:hanging="0"/>
        <w:jc w:val="center"/>
        <w:rPr/>
      </w:pPr>
      <w:r>
        <w:rPr>
          <w:sz w:val="28"/>
        </w:rPr>
        <w:t xml:space="preserve">о продаже объектов муниципального имущества </w:t>
      </w:r>
    </w:p>
    <w:p>
      <w:pPr>
        <w:pStyle w:val="Normal"/>
        <w:widowControl w:val="false"/>
        <w:pBdr>
          <w:bottom w:val="single" w:sz="12" w:space="1" w:color="000000"/>
        </w:pBdr>
        <w:bidi w:val="0"/>
        <w:ind w:left="0" w:right="0" w:hanging="0"/>
        <w:jc w:val="center"/>
        <w:rPr/>
      </w:pPr>
      <w:r>
        <w:rPr>
          <w:sz w:val="28"/>
        </w:rPr>
        <w:t>на аукционе в электронной форме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/>
        <w:t>г. Каменск-Уральский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bidi w:val="0"/>
        <w:ind w:left="0" w:right="0" w:firstLine="708"/>
        <w:rPr/>
      </w:pPr>
      <w:r>
        <w:rPr/>
        <w:t>Аукцион по продаже имущества проводится в соответствии с Федеральным законом от 21.12.2001 № 178-ФЗ «О 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приказам МАУ «Центр РФС»  от 15.06.2022 № 181 «О продаже муниципального имущества», , регламентом электронной площадки «Сбербанк-АСТ» (</w:t>
      </w:r>
      <w:hyperlink r:id="rId2">
        <w:r>
          <w:rPr>
            <w:rStyle w:val="Style11"/>
            <w:lang w:val="ru-RU" w:eastAsia="en-US" w:bidi="ar-SA"/>
          </w:rPr>
          <w:t>http://utp.sberbankast.ru/AP/Notice/1027/Instructions</w:t>
        </w:r>
      </w:hyperlink>
      <w:r>
        <w:rPr/>
        <w:t>).</w:t>
      </w:r>
    </w:p>
    <w:p>
      <w:pPr>
        <w:pStyle w:val="Normal"/>
        <w:widowControl w:val="false"/>
        <w:bidi w:val="0"/>
        <w:ind w:left="0" w:right="0" w:firstLine="708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hanging="0"/>
        <w:rPr/>
      </w:pPr>
      <w:r>
        <w:rPr/>
        <w:t>Продавец: Муниципальное автономное учреждение «Центр развития физической культуры и спорта города Каменска-Уральского».</w:t>
      </w:r>
    </w:p>
    <w:p>
      <w:pPr>
        <w:pStyle w:val="Normal"/>
        <w:bidi w:val="0"/>
        <w:ind w:left="0" w:right="0" w:hanging="0"/>
        <w:rPr/>
      </w:pPr>
      <w:r>
        <w:rPr/>
        <w:t>Адрес: 623406, Свердловская область,  г. Каменск-Уральский, ул. Исетская, д.1. тел. 8 (3439) 530044;</w:t>
      </w:r>
    </w:p>
    <w:p>
      <w:pPr>
        <w:pStyle w:val="Normal"/>
        <w:bidi w:val="0"/>
        <w:ind w:left="0" w:right="0" w:hanging="0"/>
        <w:jc w:val="left"/>
        <w:rPr/>
      </w:pPr>
      <w:r>
        <w:rPr/>
        <w:t xml:space="preserve">электронная почта: </w:t>
      </w:r>
      <w:hyperlink r:id="rId3">
        <w:r>
          <w:rPr>
            <w:rStyle w:val="ListLabel21"/>
            <w:lang w:val="en-US"/>
          </w:rPr>
          <w:t>urist</w:t>
        </w:r>
        <w:r>
          <w:rPr>
            <w:rStyle w:val="ListLabel21"/>
          </w:rPr>
          <w:t xml:space="preserve">181@ </w:t>
        </w:r>
        <w:r>
          <w:rPr>
            <w:rStyle w:val="ListLabel21"/>
            <w:lang w:val="en-US"/>
          </w:rPr>
          <w:t>mail</w:t>
        </w:r>
      </w:hyperlink>
      <w:r>
        <w:rPr/>
        <w:t>.</w:t>
      </w:r>
      <w:r>
        <w:rPr>
          <w:lang w:val="en-US"/>
        </w:rPr>
        <w:t>ru</w:t>
      </w:r>
      <w:r>
        <w:rPr/>
        <w:t>.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hanging="0"/>
        <w:jc w:val="left"/>
        <w:rPr/>
      </w:pPr>
      <w:r>
        <w:rPr/>
        <w:t>Оператор электронной площадки: АО «Сбербанк-АСТ», владеющее сайтом http://utp.sberbank-ast.ru/AP в информационно-телекоммуникационной сети «Интернет».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</w:rPr>
        <w:t>1. Сведения об объектах приватизации.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left"/>
        <w:rPr/>
      </w:pPr>
      <w:r>
        <w:rPr/>
        <w:t>Предмет аукциона - продажа муниципального имущества:</w:t>
      </w:r>
    </w:p>
    <w:p>
      <w:pPr>
        <w:pStyle w:val="Normal"/>
        <w:bidi w:val="0"/>
        <w:ind w:left="0" w:right="0" w:hanging="0"/>
        <w:rPr>
          <w:rFonts w:ascii="Times New Roman" w:hAnsi="Times New Roman"/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ind w:left="0" w:right="0" w:hanging="0"/>
        <w:rPr/>
      </w:pPr>
      <w:r>
        <w:rPr>
          <w:b/>
        </w:rPr>
        <w:t>Лот № 1:</w:t>
      </w:r>
    </w:p>
    <w:p>
      <w:pPr>
        <w:pStyle w:val="Normal"/>
        <w:bidi w:val="0"/>
        <w:ind w:left="0" w:right="0" w:hanging="0"/>
        <w:rPr/>
      </w:pPr>
      <w:r>
        <w:rPr/>
        <w:t>транспортное средство: ГАЗ3221, VIN XТН322100Х0129757, год выпуска: 1999 г., государственный регистрационный знак М901ТС96,</w:t>
      </w:r>
    </w:p>
    <w:p>
      <w:pPr>
        <w:pStyle w:val="Normal"/>
        <w:bidi w:val="0"/>
        <w:ind w:left="0" w:right="0" w:hanging="0"/>
        <w:rPr/>
      </w:pPr>
      <w:r>
        <w:rPr/>
        <w:t>категория (тип ТС) – В,</w:t>
      </w:r>
    </w:p>
    <w:p>
      <w:pPr>
        <w:pStyle w:val="Normal"/>
        <w:bidi w:val="0"/>
        <w:ind w:left="0" w:right="0" w:hanging="0"/>
        <w:rPr/>
      </w:pPr>
      <w:r>
        <w:rPr/>
        <w:t>модель, № двигателя 40200А-</w:t>
      </w:r>
      <w:r>
        <w:rPr>
          <w:lang w:val="en-US"/>
        </w:rPr>
        <w:t>W</w:t>
      </w:r>
      <w:r>
        <w:rPr/>
        <w:t>0015778,</w:t>
      </w:r>
    </w:p>
    <w:p>
      <w:pPr>
        <w:pStyle w:val="Normal"/>
        <w:bidi w:val="0"/>
        <w:ind w:left="0" w:right="0" w:hanging="0"/>
        <w:rPr/>
      </w:pPr>
      <w:r>
        <w:rPr/>
        <w:t>шасси (рама) № 322100</w:t>
      </w:r>
      <w:r>
        <w:rPr>
          <w:lang w:val="en-US"/>
        </w:rPr>
        <w:t>X</w:t>
      </w:r>
      <w:r>
        <w:rPr/>
        <w:t>0129155,</w:t>
      </w:r>
    </w:p>
    <w:p>
      <w:pPr>
        <w:pStyle w:val="Normal"/>
        <w:bidi w:val="0"/>
        <w:ind w:left="0" w:right="0" w:hanging="0"/>
        <w:rPr/>
      </w:pPr>
      <w:r>
        <w:rPr/>
        <w:t>кузов (кабина, прицеп) № 322100</w:t>
      </w:r>
      <w:r>
        <w:rPr>
          <w:lang w:val="en-US"/>
        </w:rPr>
        <w:t>X</w:t>
      </w:r>
      <w:r>
        <w:rPr/>
        <w:t>0024608,</w:t>
      </w:r>
    </w:p>
    <w:p>
      <w:pPr>
        <w:pStyle w:val="Normal"/>
        <w:bidi w:val="0"/>
        <w:ind w:left="0" w:right="0" w:hanging="0"/>
        <w:rPr/>
      </w:pPr>
      <w:r>
        <w:rPr/>
        <w:t>цвет кузова –сине-зеленый,</w:t>
      </w:r>
    </w:p>
    <w:p>
      <w:pPr>
        <w:pStyle w:val="Normal"/>
        <w:bidi w:val="0"/>
        <w:ind w:left="0" w:right="0" w:hanging="0"/>
        <w:rPr/>
      </w:pPr>
      <w:r>
        <w:rPr/>
        <w:t>мощность двигателя, л.с. (кВт) 100/73,5,</w:t>
      </w:r>
    </w:p>
    <w:p>
      <w:pPr>
        <w:pStyle w:val="Normal"/>
        <w:bidi w:val="0"/>
        <w:ind w:left="0" w:right="0" w:hanging="0"/>
        <w:rPr/>
      </w:pPr>
      <w:r>
        <w:rPr/>
        <w:t>рабочий объем двигателя, куб. см. 2445,</w:t>
      </w:r>
    </w:p>
    <w:p>
      <w:pPr>
        <w:pStyle w:val="Normal"/>
        <w:bidi w:val="0"/>
        <w:ind w:left="0" w:right="0" w:hanging="0"/>
        <w:rPr/>
      </w:pPr>
      <w:r>
        <w:rPr/>
        <w:t>тип двигателя -бензиновый,</w:t>
      </w:r>
    </w:p>
    <w:p>
      <w:pPr>
        <w:pStyle w:val="Normal"/>
        <w:bidi w:val="0"/>
        <w:ind w:left="0" w:right="0" w:hanging="0"/>
        <w:rPr/>
      </w:pPr>
      <w:r>
        <w:rPr/>
        <w:t>разрешенная максимальная масса, кг  -3250,</w:t>
      </w:r>
    </w:p>
    <w:p>
      <w:pPr>
        <w:pStyle w:val="Normal"/>
        <w:bidi w:val="0"/>
        <w:ind w:left="0" w:right="0" w:hanging="0"/>
        <w:rPr/>
      </w:pPr>
      <w:r>
        <w:rPr/>
        <w:t>масса без нагрузки, кг -2500,</w:t>
      </w:r>
    </w:p>
    <w:p>
      <w:pPr>
        <w:pStyle w:val="Normal"/>
        <w:bidi w:val="0"/>
        <w:ind w:left="0" w:right="0" w:hanging="0"/>
        <w:rPr/>
      </w:pPr>
      <w:r>
        <w:rPr/>
        <w:t>организация- изготовитель ТС (страна) Россия ОАО ГАЗ</w:t>
      </w:r>
    </w:p>
    <w:p>
      <w:pPr>
        <w:pStyle w:val="Normal"/>
        <w:bidi w:val="0"/>
        <w:ind w:left="0" w:right="0" w:hanging="0"/>
        <w:rPr/>
      </w:pPr>
      <w:r>
        <w:rPr/>
        <w:t>паспорт транспортного средства 66 КР 717519 выдан ОАО ГАЗ</w:t>
      </w:r>
    </w:p>
    <w:p>
      <w:pPr>
        <w:pStyle w:val="Normal"/>
        <w:bidi w:val="0"/>
        <w:ind w:left="0" w:right="0" w:hanging="0"/>
        <w:rPr/>
      </w:pPr>
      <w:r>
        <w:rPr/>
        <w:t>Свидетельство о регистрации ТС 66 ХТ № 664229 выдано 26.04.2012 г. МРЭО ГИБДД УВД г. Каменска-Уральского.</w:t>
      </w:r>
    </w:p>
    <w:p>
      <w:pPr>
        <w:pStyle w:val="Normal"/>
        <w:bidi w:val="0"/>
        <w:ind w:left="0" w:right="0" w:hanging="0"/>
        <w:rPr/>
      </w:pPr>
      <w:r>
        <w:rPr>
          <w:b/>
        </w:rPr>
        <w:t xml:space="preserve">Начальная цена имущества – 42000 </w:t>
      </w:r>
      <w:r>
        <w:rPr/>
        <w:t xml:space="preserve">(сорок две тысячи) рублей </w:t>
      </w:r>
      <w:r>
        <w:rPr>
          <w:b/>
        </w:rPr>
        <w:t>00</w:t>
      </w:r>
      <w:r>
        <w:rPr/>
        <w:t xml:space="preserve"> копеек, НДС не предусмотрен.</w:t>
      </w:r>
    </w:p>
    <w:p>
      <w:pPr>
        <w:pStyle w:val="Normal"/>
        <w:tabs>
          <w:tab w:val="clear" w:pos="708"/>
          <w:tab w:val="left" w:pos="3969" w:leader="none"/>
        </w:tabs>
        <w:bidi w:val="0"/>
        <w:ind w:left="0" w:right="0" w:hanging="0"/>
        <w:rPr/>
      </w:pPr>
      <w:r>
        <w:rPr>
          <w:b/>
        </w:rPr>
        <w:t>«Шаг аукциона»</w:t>
      </w:r>
      <w:r>
        <w:rPr/>
        <w:t xml:space="preserve"> </w:t>
      </w:r>
      <w:r>
        <w:rPr>
          <w:b/>
        </w:rPr>
        <w:t xml:space="preserve">- 2100 </w:t>
      </w:r>
      <w:r>
        <w:rPr/>
        <w:t xml:space="preserve">(две тысячи) рублей </w:t>
      </w:r>
      <w:r>
        <w:rPr>
          <w:b/>
        </w:rPr>
        <w:t xml:space="preserve">00 </w:t>
      </w:r>
      <w:r>
        <w:rPr/>
        <w:t>копеек.</w:t>
      </w:r>
    </w:p>
    <w:p>
      <w:pPr>
        <w:pStyle w:val="Normal"/>
        <w:tabs>
          <w:tab w:val="clear" w:pos="708"/>
          <w:tab w:val="left" w:pos="3969" w:leader="none"/>
        </w:tabs>
        <w:bidi w:val="0"/>
        <w:ind w:left="0" w:right="0" w:hanging="0"/>
        <w:rPr/>
      </w:pPr>
      <w:r>
        <w:rPr>
          <w:b/>
        </w:rPr>
        <w:t xml:space="preserve">Задаток установлен в размере: 8400 </w:t>
      </w:r>
      <w:r>
        <w:rPr/>
        <w:t xml:space="preserve">(восемь тысяч) рублей </w:t>
      </w:r>
      <w:r>
        <w:rPr>
          <w:b/>
        </w:rPr>
        <w:t>00</w:t>
      </w:r>
      <w:r>
        <w:rPr/>
        <w:t xml:space="preserve"> копеек.</w:t>
      </w:r>
    </w:p>
    <w:p>
      <w:pPr>
        <w:pStyle w:val="Normal"/>
        <w:widowControl w:val="false"/>
        <w:bidi w:val="0"/>
        <w:spacing w:before="120" w:after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bidi w:val="0"/>
        <w:spacing w:before="120" w:after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bidi w:val="0"/>
        <w:spacing w:before="120" w:after="0"/>
        <w:ind w:left="0" w:right="0" w:firstLine="708"/>
        <w:rPr/>
      </w:pPr>
      <w:r>
        <w:rPr/>
        <w:t>Способ приватизации муниципального имущества: аукцион в электронной форме.</w:t>
      </w:r>
    </w:p>
    <w:p>
      <w:pPr>
        <w:pStyle w:val="Normal"/>
        <w:widowControl w:val="false"/>
        <w:bidi w:val="0"/>
        <w:spacing w:before="120" w:after="0"/>
        <w:ind w:left="0" w:right="0" w:firstLine="708"/>
        <w:rPr/>
      </w:pPr>
      <w:r>
        <w:rPr/>
        <w:t>Сроки, время подачи заявок, проведения электронной продажи, подведения итогов продажи муниципального имущества: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При исчислении сроков, указанных в настоящем информационном сообщении, принимается </w:t>
      </w:r>
      <w:r>
        <w:rPr>
          <w:b/>
        </w:rPr>
        <w:t>время сервера электронной торговой площадки – московское</w:t>
      </w:r>
      <w:r>
        <w:rPr/>
        <w:t xml:space="preserve">.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jc w:val="left"/>
        <w:rPr/>
      </w:pPr>
      <w:r>
        <w:rPr>
          <w:u w:val="single"/>
        </w:rPr>
        <w:t>Дата начала приема заявок на участие в аукционе</w:t>
      </w:r>
      <w:r>
        <w:rPr/>
        <w:t xml:space="preserve"> – </w:t>
      </w:r>
      <w:r>
        <w:rPr>
          <w:highlight w:val="yellow"/>
        </w:rPr>
        <w:t>с 07.00 час. 17.06.2022г</w:t>
      </w:r>
      <w:r>
        <w:rPr/>
        <w:t xml:space="preserve">.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ind w:left="0" w:right="0" w:firstLine="708"/>
        <w:jc w:val="left"/>
        <w:rPr/>
      </w:pPr>
      <w:r>
        <w:rPr>
          <w:u w:val="single"/>
        </w:rPr>
        <w:t>Дата окончания приема заявок на участие в аукционе</w:t>
      </w:r>
      <w:r>
        <w:rPr/>
        <w:t xml:space="preserve"> – </w:t>
      </w:r>
      <w:r>
        <w:rPr>
          <w:highlight w:val="yellow"/>
        </w:rPr>
        <w:t>в 15.00 час. 13.07.2022г.</w:t>
      </w:r>
      <w:r>
        <w:rPr/>
        <w:t xml:space="preserve">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ind w:left="0" w:right="0" w:firstLine="708"/>
        <w:jc w:val="left"/>
        <w:rPr/>
      </w:pPr>
      <w:r>
        <w:rPr>
          <w:u w:val="single"/>
        </w:rPr>
        <w:t>Дата определения участников торгов</w:t>
      </w:r>
      <w:r>
        <w:rPr/>
        <w:t xml:space="preserve"> – </w:t>
      </w:r>
      <w:r>
        <w:rPr>
          <w:highlight w:val="yellow"/>
        </w:rPr>
        <w:t>14.07.2022г.</w:t>
      </w:r>
      <w:r>
        <w:rPr/>
        <w:t xml:space="preserve">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>
          <w:u w:val="single"/>
        </w:rPr>
        <w:t>Электронный аукцион состоится</w:t>
      </w:r>
      <w:r>
        <w:rPr/>
        <w:t xml:space="preserve"> (дата и время начала приема предложений от участников аукциона) –</w:t>
      </w:r>
      <w:r>
        <w:rPr>
          <w:highlight w:val="yellow"/>
        </w:rPr>
        <w:t>18.07.2022г. в 08.00 час.</w:t>
      </w:r>
      <w:r>
        <w:rPr/>
        <w:t xml:space="preserve"> </w:t>
      </w:r>
    </w:p>
    <w:p>
      <w:pPr>
        <w:pStyle w:val="Normal"/>
        <w:bidi w:val="0"/>
        <w:ind w:left="0" w:right="0" w:hanging="0"/>
        <w:rPr>
          <w:rFonts w:ascii="Times New Roman" w:hAnsi="Times New Roman"/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ind w:left="0" w:right="0" w:firstLine="708"/>
        <w:rPr/>
      </w:pPr>
      <w:r>
        <w:rPr>
          <w:u w:val="single"/>
        </w:rPr>
        <w:t>Срок (дата и время) подведения итогов продажи</w:t>
      </w:r>
      <w:r>
        <w:rPr/>
        <w:t xml:space="preserve">: итоги аукциона будут подведены </w:t>
      </w:r>
      <w:r>
        <w:rPr>
          <w:highlight w:val="yellow"/>
        </w:rPr>
        <w:t>18.07.2022г.</w:t>
      </w:r>
      <w:r>
        <w:rPr/>
        <w:t xml:space="preserve"> по окончании аукциона. </w:t>
      </w:r>
    </w:p>
    <w:p>
      <w:pPr>
        <w:pStyle w:val="Normal"/>
        <w:bidi w:val="0"/>
        <w:ind w:left="0" w:right="0" w:hanging="0"/>
        <w:rPr>
          <w:rFonts w:ascii="Times New Roman" w:hAnsi="Times New Roman"/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ind w:left="0" w:right="0" w:firstLine="708"/>
        <w:rPr/>
      </w:pPr>
      <w:r>
        <w:rPr/>
        <w:t xml:space="preserve">Организатор торгов оставляет за собой право отменить проведение аукциона в любое время, но не позднее, чем за три дня до даты проведения аукциона. </w:t>
      </w:r>
    </w:p>
    <w:p>
      <w:pPr>
        <w:pStyle w:val="Normal"/>
        <w:bidi w:val="0"/>
        <w:ind w:left="0" w:right="0" w:firstLine="708"/>
        <w:rPr/>
      </w:pPr>
      <w:r>
        <w:rPr/>
        <w:t>Место проведения электронного аукциона: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bidi w:val="0"/>
        <w:ind w:left="0" w:right="0" w:firstLine="708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firstLine="708"/>
        <w:jc w:val="center"/>
        <w:rPr/>
      </w:pPr>
      <w:r>
        <w:rPr>
          <w:b/>
        </w:rPr>
        <w:t>2. Порядок регистрации на электронной площадке, подачи заявки на участие в аукционе в электронной форме, размер, срок и порядок внесения задатка, порядок возврата задатка.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firstLine="708"/>
        <w:rPr/>
      </w:pPr>
      <w:r>
        <w:rPr/>
        <w:t xml:space="preserve">Для обеспечения доступа к участию в электронном аукционе Претендентам необходимо пройти процедуру регистрации на электронной площадке.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Регистрация на электронной площадке проводится в соответствии с Регламентом электронной площадки без взимания платы. </w:t>
      </w:r>
    </w:p>
    <w:p>
      <w:pPr>
        <w:pStyle w:val="Normal"/>
        <w:bidi w:val="0"/>
        <w:ind w:left="0" w:right="0" w:firstLine="708"/>
        <w:rPr/>
      </w:pPr>
      <w:r>
        <w:rPr/>
        <w:t xml:space="preserve"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 (образец заявки приведен в Приложении № 1 к настоящему информационному сообщению). </w:t>
      </w:r>
    </w:p>
    <w:p>
      <w:pPr>
        <w:pStyle w:val="Normal"/>
        <w:bidi w:val="0"/>
        <w:ind w:left="0" w:right="0" w:firstLine="708"/>
        <w:rPr/>
      </w:pPr>
      <w:r>
        <w:rPr/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http://utp.sberbank-ast.ru/AP/Notice/652/Instructions</w:t>
      </w:r>
      <w:r>
        <w:rPr>
          <w:b/>
        </w:rPr>
        <w:t>.</w:t>
      </w:r>
    </w:p>
    <w:p>
      <w:pPr>
        <w:pStyle w:val="Normal"/>
        <w:bidi w:val="0"/>
        <w:ind w:left="0" w:right="0" w:firstLine="708"/>
        <w:rPr/>
      </w:pPr>
      <w:r>
        <w:rPr/>
        <w:t>После заполнения формы подачи заявки, заявку необходимо подписать</w:t>
      </w:r>
      <w:r>
        <w:rPr>
          <w:b/>
        </w:rPr>
        <w:t xml:space="preserve"> </w:t>
      </w:r>
      <w:r>
        <w:rPr/>
        <w:t xml:space="preserve">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tLeast" w:line="240"/>
        <w:ind w:left="0" w:right="0" w:firstLine="708"/>
        <w:jc w:val="left"/>
        <w:rPr/>
      </w:pPr>
      <w:r>
        <w:rPr>
          <w:u w:val="single"/>
        </w:rPr>
        <w:t xml:space="preserve">физические лица: </w:t>
      </w:r>
    </w:p>
    <w:p>
      <w:pPr>
        <w:pStyle w:val="Normal"/>
        <w:bidi w:val="0"/>
        <w:spacing w:lineRule="atLeast" w:line="240"/>
        <w:ind w:left="0" w:right="0" w:hanging="0"/>
        <w:jc w:val="left"/>
        <w:rPr/>
      </w:pPr>
      <w:r>
        <w:rPr/>
        <w:t xml:space="preserve">- копию </w:t>
      </w:r>
      <w:r>
        <w:rPr>
          <w:b/>
          <w:u w:val="single"/>
        </w:rPr>
        <w:t>всех (!) листов документа, удостоверяющего личность</w:t>
      </w:r>
      <w:r>
        <w:rPr/>
        <w:t xml:space="preserve">; </w:t>
      </w:r>
    </w:p>
    <w:p>
      <w:pPr>
        <w:pStyle w:val="Normal"/>
        <w:bidi w:val="0"/>
        <w:spacing w:lineRule="atLeast" w:line="240"/>
        <w:ind w:left="0" w:right="0" w:hanging="0"/>
        <w:jc w:val="left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spacing w:lineRule="atLeast" w:line="240"/>
        <w:ind w:left="0" w:right="0" w:firstLine="708"/>
        <w:jc w:val="left"/>
        <w:rPr/>
      </w:pPr>
      <w:r>
        <w:rPr>
          <w:u w:val="single"/>
        </w:rPr>
        <w:t xml:space="preserve">юридические лица: </w:t>
      </w:r>
    </w:p>
    <w:p>
      <w:pPr>
        <w:pStyle w:val="Normal"/>
        <w:bidi w:val="0"/>
        <w:spacing w:lineRule="atLeast" w:line="240"/>
        <w:ind w:left="0" w:right="0" w:hanging="0"/>
        <w:rPr/>
      </w:pPr>
      <w:r>
        <w:rPr/>
        <w:t xml:space="preserve">- копии учредительных документов; </w:t>
      </w:r>
    </w:p>
    <w:p>
      <w:pPr>
        <w:pStyle w:val="Normal"/>
        <w:bidi w:val="0"/>
        <w:ind w:left="0" w:right="0" w:hanging="0"/>
        <w:rPr/>
      </w:pPr>
      <w:r>
        <w:rPr/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  <w:r>
        <w:rPr>
          <w:b/>
        </w:rPr>
        <w:t xml:space="preserve"> </w:t>
      </w:r>
    </w:p>
    <w:p>
      <w:pPr>
        <w:pStyle w:val="Normal"/>
        <w:bidi w:val="0"/>
        <w:ind w:left="0" w:right="0" w:hanging="0"/>
        <w:rPr/>
      </w:pPr>
      <w:r>
        <w:rPr/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>
      <w:pPr>
        <w:pStyle w:val="Normal"/>
        <w:bidi w:val="0"/>
        <w:ind w:left="0" w:right="0" w:firstLine="708"/>
        <w:rPr>
          <w:rFonts w:ascii="Times New Roman" w:hAnsi="Times New Roman"/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ind w:left="0" w:right="0" w:firstLine="708"/>
        <w:rPr/>
      </w:pPr>
      <w:r>
        <w:rPr>
          <w:b/>
          <w:u w:val="single"/>
        </w:rPr>
        <w:t>К данным документам прилагается опись</w:t>
      </w:r>
      <w:r>
        <w:rPr/>
        <w:t xml:space="preserve"> (Приложение № 2 к информационному сообщению). 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BodyText2"/>
        <w:bidi w:val="0"/>
        <w:spacing w:before="0" w:after="0"/>
        <w:ind w:left="0" w:right="0" w:firstLine="709"/>
        <w:jc w:val="both"/>
        <w:rPr/>
      </w:pPr>
      <w:r>
        <w:rPr>
          <w:b w:val="false"/>
          <w:sz w:val="24"/>
          <w:szCs w:val="24"/>
          <w:lang w:eastAsia="en-US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>
      <w:pPr>
        <w:pStyle w:val="Normal"/>
        <w:bidi w:val="0"/>
        <w:ind w:left="0" w:right="0" w:firstLine="709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9"/>
        <w:rPr/>
      </w:pPr>
      <w:r>
        <w:rPr/>
        <w:t>Одно лицо имеет право подать только одну заявку на один объект приватизации.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Заявки с прилагаемыми к ним документами, поданные с нарушением установленного срока, а также заявки с незаполненными полями (являющимися обязательными для заполнения), на электронной площадке не регистрируются программными средствами. В случае, если система не принимает заявку, Оператор электронной площадки уведомляет Претендента соответствующим системным сообщением о причине непринятия заявки.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В случае успешного принятия заявки Оператор электронной площадки в течение одного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Для участия в аукционе претендент вносит задаток в размере 20 процентов начальной цены, указанной в пункте 1. </w:t>
      </w:r>
    </w:p>
    <w:p>
      <w:pPr>
        <w:pStyle w:val="12"/>
        <w:widowControl w:val="false"/>
        <w:bidi w:val="0"/>
        <w:ind w:left="0" w:righ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12"/>
        <w:widowControl w:val="false"/>
        <w:bidi w:val="0"/>
        <w:ind w:left="0" w:right="0" w:firstLine="567"/>
        <w:jc w:val="both"/>
        <w:rPr/>
      </w:pPr>
      <w:r>
        <w:rPr>
          <w:sz w:val="24"/>
          <w:szCs w:val="24"/>
          <w:lang w:eastAsia="en-US"/>
        </w:rPr>
        <w:t>Срок внесения задатка определяется в соответствии с регламентом оператора электронной площадки.</w:t>
      </w:r>
    </w:p>
    <w:p>
      <w:pPr>
        <w:pStyle w:val="12"/>
        <w:widowControl w:val="false"/>
        <w:bidi w:val="0"/>
        <w:ind w:left="0" w:right="0" w:firstLine="567"/>
        <w:jc w:val="both"/>
        <w:rPr/>
      </w:pPr>
      <w:r>
        <w:rPr>
          <w:sz w:val="24"/>
          <w:szCs w:val="24"/>
          <w:lang w:eastAsia="en-US"/>
        </w:rPr>
        <w:t>Задаток перечисляется на счет оператора электронной площадки АО "Сбербанк-АСТ".</w:t>
      </w:r>
    </w:p>
    <w:p>
      <w:pPr>
        <w:pStyle w:val="Normal"/>
        <w:numPr>
          <w:ilvl w:val="0"/>
          <w:numId w:val="0"/>
        </w:numPr>
        <w:bidi w:val="0"/>
        <w:ind w:left="0" w:right="0" w:firstLine="567"/>
        <w:outlineLvl w:val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right="0" w:firstLine="567"/>
        <w:outlineLvl w:val="0"/>
        <w:rPr/>
      </w:pPr>
      <w:r>
        <w:rPr/>
        <w:t xml:space="preserve">Оператор электронной площадки проверяет наличие достаточной суммы </w:t>
      </w:r>
      <w:r>
        <w:rPr/>
        <w:br/>
      </w:r>
      <w:r>
        <w:rPr/>
        <w:t>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 поступлении Оператору задатка от такого Претендента.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jc w:val="left"/>
        <w:rPr/>
      </w:pPr>
      <w:r>
        <w:rPr/>
        <w:t>Размер задатка указан в пункте 1 по каждому лоту.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>Задаток для участия в аукционе служит обеспечением исполнения обязательств в части заключения договора, а также в обеспечение исполнения обязательств, предусмотренных договором купли-продажи.</w:t>
      </w:r>
    </w:p>
    <w:p>
      <w:pPr>
        <w:pStyle w:val="Normal"/>
        <w:numPr>
          <w:ilvl w:val="0"/>
          <w:numId w:val="0"/>
        </w:numPr>
        <w:bidi w:val="0"/>
        <w:spacing w:beforeAutospacing="1" w:afterAutospacing="1"/>
        <w:ind w:left="0" w:right="0" w:firstLine="708"/>
        <w:outlineLvl w:val="3"/>
        <w:rPr/>
      </w:pPr>
      <w:r>
        <w:rPr>
          <w:b/>
        </w:rPr>
        <w:t xml:space="preserve">Срок зачисления денежных средств </w:t>
      </w:r>
      <w:r>
        <w:rPr/>
        <w:t xml:space="preserve">на лицевой счет Претендента (Участника) на Универсальной торговой платформе – </w:t>
      </w:r>
      <w:r>
        <w:rPr>
          <w:b/>
        </w:rPr>
        <w:t xml:space="preserve">от 1 до 3 рабочих дней. </w:t>
      </w:r>
      <w:r>
        <w:rPr/>
        <w:t>Платежи разносятся по лицевым счетам каждый РАБОЧИЙ день по факту поступления средств по банковским выпискам (т.е. банковский день и рабочий день).</w:t>
      </w:r>
    </w:p>
    <w:p>
      <w:pPr>
        <w:pStyle w:val="Normal"/>
        <w:numPr>
          <w:ilvl w:val="0"/>
          <w:numId w:val="0"/>
        </w:numPr>
        <w:bidi w:val="0"/>
        <w:spacing w:beforeAutospacing="1" w:afterAutospacing="1"/>
        <w:ind w:left="0" w:right="0" w:firstLine="708"/>
        <w:outlineLvl w:val="3"/>
        <w:rPr/>
      </w:pPr>
      <w:r>
        <w:rPr/>
        <w:t xml:space="preserve">В случае,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4">
        <w:r>
          <w:rPr>
            <w:rStyle w:val="ListLabel22"/>
          </w:rPr>
          <w:t>property@sberbank-ast.ru</w:t>
        </w:r>
      </w:hyperlink>
      <w:r>
        <w:rPr/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>
      <w:pPr>
        <w:pStyle w:val="Normal"/>
        <w:numPr>
          <w:ilvl w:val="0"/>
          <w:numId w:val="0"/>
        </w:numPr>
        <w:bidi w:val="0"/>
        <w:spacing w:before="0" w:afterAutospacing="1"/>
        <w:ind w:left="0" w:right="0" w:firstLine="708"/>
        <w:outlineLvl w:val="3"/>
        <w:rPr/>
      </w:pPr>
      <w:r>
        <w:rPr>
          <w:b/>
        </w:rPr>
        <w:t>Банковские реквизиты счета для перечисления задатка:</w:t>
      </w:r>
    </w:p>
    <w:tbl>
      <w:tblPr>
        <w:tblW w:w="991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6"/>
        <w:gridCol w:w="4955"/>
      </w:tblGrid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bidi w:val="0"/>
              <w:spacing w:before="0" w:after="0"/>
              <w:ind w:left="0" w:right="0" w:hanging="0"/>
              <w:outlineLvl w:val="3"/>
              <w:rPr/>
            </w:pPr>
            <w:r>
              <w:rPr>
                <w:b/>
              </w:rPr>
              <w:t>Получатель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</w:tabs>
              <w:bidi w:val="0"/>
              <w:spacing w:before="0" w:after="0"/>
              <w:ind w:left="0" w:right="0" w:hanging="0"/>
              <w:outlineLvl w:val="3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>Наименование: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>АО "Сбербанк-АСТ"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/>
              <w:t>ИНН: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>7707308480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/>
              <w:t>КПП: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 xml:space="preserve">770401001 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>Расчетный счет: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>40702810300020038047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b/>
              </w:rPr>
              <w:t>Банк получателя: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>Наименование банка: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>ПАО "СБЕРБАНК РОССИИ" Г. МОСКВА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>БИК: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>044525225</w:t>
            </w:r>
          </w:p>
        </w:tc>
      </w:tr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>Корреспондентский счет: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beforeAutospacing="1" w:after="0"/>
              <w:ind w:left="0" w:right="0" w:hanging="0"/>
              <w:outlineLvl w:val="3"/>
              <w:rPr/>
            </w:pPr>
            <w:r>
              <w:rPr>
                <w:color w:val="333333"/>
                <w:sz w:val="22"/>
                <w:szCs w:val="22"/>
                <w:lang w:eastAsia="ru-RU"/>
              </w:rPr>
              <w:t>30101810400000000225</w:t>
            </w:r>
          </w:p>
        </w:tc>
      </w:tr>
    </w:tbl>
    <w:p>
      <w:pPr>
        <w:pStyle w:val="Normal"/>
        <w:bidi w:val="0"/>
        <w:spacing w:lineRule="atLeast" w:line="240" w:beforeAutospacing="1" w:afterAutospacing="1"/>
        <w:ind w:left="0" w:right="0" w:firstLine="708"/>
        <w:rPr/>
      </w:pPr>
      <w:r>
        <w:rPr>
          <w:b/>
        </w:rPr>
        <w:t xml:space="preserve">В назначении платежа необходимо указать: Перечисление денежных средств в качестве задатка (ИНН плательщика), НДС не облагается. </w:t>
      </w:r>
    </w:p>
    <w:p>
      <w:pPr>
        <w:pStyle w:val="Normal"/>
        <w:bidi w:val="0"/>
        <w:spacing w:lineRule="atLeast" w:line="240" w:beforeAutospacing="1" w:afterAutospacing="1"/>
        <w:ind w:left="0" w:right="0" w:firstLine="708"/>
        <w:rPr/>
      </w:pPr>
      <w:r>
        <w:rPr/>
        <w:t>Денежные средства, перечисленные</w:t>
      </w:r>
      <w:r>
        <w:rPr>
          <w:b/>
        </w:rPr>
        <w:t xml:space="preserve"> за Участника третьим лицом, не зачисляются </w:t>
      </w:r>
      <w:r>
        <w:rPr/>
        <w:t xml:space="preserve">на счет такого Участника на Универсальной торговой платформе. </w:t>
      </w:r>
    </w:p>
    <w:p>
      <w:pPr>
        <w:pStyle w:val="Normal"/>
        <w:bidi w:val="0"/>
        <w:spacing w:lineRule="atLeast" w:line="240" w:beforeAutospacing="1" w:afterAutospacing="1"/>
        <w:ind w:left="0" w:right="0" w:firstLine="708"/>
        <w:rPr/>
      </w:pPr>
      <w:r>
        <w:rPr/>
        <w:t xml:space="preserve">Образец платежного поручения приведен на электронной площадке по адресу: http://utp.sberbank-ast.ru/AP/Notice/653/Requisites. </w:t>
      </w:r>
    </w:p>
    <w:p>
      <w:pPr>
        <w:pStyle w:val="Normal"/>
        <w:bidi w:val="0"/>
        <w:spacing w:lineRule="atLeast" w:line="240" w:beforeAutospacing="1" w:afterAutospacing="1"/>
        <w:ind w:left="0" w:right="0" w:firstLine="708"/>
        <w:rPr/>
      </w:pPr>
      <w:r>
        <w:rPr/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>
      <w:pPr>
        <w:pStyle w:val="Normal"/>
        <w:bidi w:val="0"/>
        <w:ind w:left="0" w:right="0" w:firstLine="708"/>
        <w:rPr/>
      </w:pPr>
      <w:r>
        <w:rPr/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>В случае расторжения договора купли-продажи по вине Покупателя, задаток не возвращается и остается у Продавца.</w:t>
      </w:r>
    </w:p>
    <w:p>
      <w:pPr>
        <w:pStyle w:val="Normal"/>
        <w:bidi w:val="0"/>
        <w:ind w:left="0" w:right="0" w:firstLine="708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firstLine="708"/>
        <w:rPr/>
      </w:pPr>
      <w:r>
        <w:rPr/>
        <w:t>Претендент не допускается к участию в продаже по следующим основаниям: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 xml:space="preserve"> </w:t>
      </w:r>
      <w:r>
        <w:rPr/>
        <w:t>-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>
      <w:pPr>
        <w:pStyle w:val="Normal"/>
        <w:bidi w:val="0"/>
        <w:ind w:left="0" w:right="0" w:hanging="0"/>
        <w:rPr>
          <w:rFonts w:ascii="Times New Roman" w:hAnsi="Times New Roman"/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ind w:left="0" w:right="0" w:hanging="0"/>
        <w:rPr/>
      </w:pPr>
      <w:r>
        <w:rPr/>
        <w:t xml:space="preserve">- заявка подана лицом, не уполномоченным претендентом на осуществление таких действий;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 xml:space="preserve">- не подтверждено поступление в установленный срок задатка на счета, указанные в информационном сообщении.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Претендент приобретает статус участника аукциона с момента подписания протокола о признании Претендентов участниками аукциона. 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ConsPlusNormal"/>
        <w:bidi w:val="0"/>
        <w:spacing w:before="240" w:after="0"/>
        <w:ind w:left="0" w:right="0" w:firstLine="540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  <w:lang w:eastAsia="en-US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5">
        <w:r>
          <w:rPr>
            <w:rStyle w:val="ListLabel23"/>
            <w:rFonts w:cs="Times New Roman" w:ascii="Times New Roman" w:hAnsi="Times New Roman"/>
            <w:b w:val="false"/>
            <w:sz w:val="24"/>
            <w:szCs w:val="24"/>
            <w:lang w:eastAsia="en-US"/>
          </w:rPr>
          <w:t>www.torgi.gov.ru</w:t>
        </w:r>
      </w:hyperlink>
      <w:r>
        <w:rPr>
          <w:rFonts w:cs="Times New Roman" w:ascii="Times New Roman" w:hAnsi="Times New Roman"/>
          <w:b w:val="false"/>
          <w:sz w:val="24"/>
          <w:szCs w:val="24"/>
          <w:lang w:eastAsia="en-US"/>
        </w:rPr>
        <w:t xml:space="preserve">, а также на сайте продавца </w:t>
      </w:r>
      <w:hyperlink r:id="rId6">
        <w:r>
          <w:rPr>
            <w:rStyle w:val="ListLabel23"/>
            <w:rFonts w:cs="Times New Roman" w:ascii="Times New Roman" w:hAnsi="Times New Roman"/>
            <w:b w:val="false"/>
            <w:sz w:val="24"/>
            <w:szCs w:val="24"/>
            <w:lang w:eastAsia="en-US"/>
          </w:rPr>
          <w:t>https://imush.kamensk-uralskiy.ru/</w:t>
        </w:r>
      </w:hyperlink>
      <w:r>
        <w:rPr>
          <w:rFonts w:cs="Times New Roman" w:ascii="Times New Roman" w:hAnsi="Times New Roman"/>
          <w:b w:val="false"/>
          <w:sz w:val="24"/>
          <w:szCs w:val="24"/>
          <w:lang w:eastAsia="en-US"/>
        </w:rPr>
        <w:t>.</w:t>
      </w:r>
    </w:p>
    <w:p>
      <w:pPr>
        <w:pStyle w:val="Normal"/>
        <w:bidi w:val="0"/>
        <w:ind w:left="0" w:right="0" w:firstLine="708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firstLine="708"/>
        <w:rPr/>
      </w:pPr>
      <w:r>
        <w:rPr>
          <w:b/>
        </w:rPr>
        <w:t xml:space="preserve">3. Порядок ознакомления с документацией и информацией об имуществе, условиями договора купли-продажи имущества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bidi w:val="0"/>
        <w:ind w:left="0" w:right="0" w:firstLine="708"/>
        <w:rPr/>
      </w:pPr>
      <w:r>
        <w:rPr/>
        <w:t>Информационное сообщение о проведении электронной продажи объектов</w:t>
      </w:r>
      <w:r>
        <w:rPr>
          <w:b/>
          <w:sz w:val="28"/>
        </w:rPr>
        <w:t xml:space="preserve"> </w:t>
      </w:r>
      <w:r>
        <w:rPr/>
        <w:t>на аукционе,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www.torgi.gov.ru, официальном сайте Продавца https://kamensk-ur-sport.ru/ и в открытой для доступа неограниченного круга лиц части электронной площадки на сайте http://utp.sberbank-ast.ru</w:t>
      </w:r>
      <w:r>
        <w:rPr>
          <w:b/>
        </w:rPr>
        <w:t>.</w:t>
      </w:r>
      <w:r>
        <w:rPr/>
        <w:t xml:space="preserve">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муниципальной собственности, для чего необходимо предварительно направить письменный запрос с указанием ФИО, адреса регистрации, номера сотового телефона, предмета осмотра на электронный адрес: </w:t>
      </w:r>
      <w:r>
        <w:rPr>
          <w:b/>
          <w:u w:val="single"/>
        </w:rPr>
        <w:t>urist181@ mail.ru</w:t>
      </w:r>
      <w:r>
        <w:rPr/>
        <w:t xml:space="preserve">. Осмотр проводится в течении 5 (пяти) рабочих дней со дня получения запроса.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и изучение технической документации, считается уведомленным о техническом состоянии объекта.</w:t>
      </w:r>
    </w:p>
    <w:p>
      <w:pPr>
        <w:pStyle w:val="Normal"/>
        <w:bidi w:val="0"/>
        <w:ind w:left="0" w:right="0" w:firstLine="708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firstLine="708"/>
        <w:rPr/>
      </w:pPr>
      <w:r>
        <w:rPr>
          <w:b/>
        </w:rPr>
        <w:t>4. Форма подачи предложений о цене муниципального имущества.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АО «Сбербанк-АСТ», размещенная на сайте http://utp.sberbank-ast.ru в сети Интернет.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  <w:lang w:eastAsia="en-US"/>
        </w:rPr>
        <w:t xml:space="preserve">Подача предложений в торговом зале возможна только в случае проведения аукциона (в случае наличия двух или более допущенных участников).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>Подача предложений о цене для многолотовых процедур осуществляется отдельно по каждому лоту. Сроки проведения аукциона для всех лотов устанавливаются единые.</w:t>
      </w:r>
    </w:p>
    <w:p>
      <w:pPr>
        <w:pStyle w:val="Normal"/>
        <w:bidi w:val="0"/>
        <w:ind w:left="0" w:right="0" w:firstLine="708"/>
        <w:rPr>
          <w:rFonts w:ascii="Times New Roman" w:hAnsi="Times New Roman"/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TextBoldCenter"/>
        <w:numPr>
          <w:ilvl w:val="0"/>
          <w:numId w:val="0"/>
        </w:numPr>
        <w:bidi w:val="0"/>
        <w:spacing w:before="0" w:after="0"/>
        <w:ind w:left="0" w:right="0" w:firstLine="567"/>
        <w:jc w:val="both"/>
        <w:outlineLvl w:val="0"/>
        <w:rPr/>
      </w:pPr>
      <w:r>
        <w:rPr>
          <w:sz w:val="24"/>
          <w:szCs w:val="24"/>
        </w:rPr>
        <w:t>5.</w:t>
      </w:r>
      <w:r>
        <w:rPr/>
        <w:t xml:space="preserve"> </w:t>
      </w:r>
      <w:r>
        <w:rPr>
          <w:bCs w:val="false"/>
          <w:sz w:val="24"/>
          <w:szCs w:val="24"/>
          <w:lang w:eastAsia="en-US"/>
        </w:rPr>
        <w:t>Порядок проведения аукциона в электронной форме, определения его победителей и место подведения итогов продажи муниципального имущества</w:t>
      </w:r>
    </w:p>
    <w:p>
      <w:pPr>
        <w:pStyle w:val="Normal"/>
        <w:bidi w:val="0"/>
        <w:ind w:left="0" w:right="0" w:firstLine="708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  <w:lang w:eastAsia="en-US"/>
        </w:rPr>
        <w:t>Процедура продажи в электронной форме проводится в день и во время, указанные в информационном сообщении о продаже муниципального имущества,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  <w:lang w:eastAsia="en-US"/>
        </w:rPr>
        <w:t>«Шаг аукциона» устанавливается Продавцом в фиксированной сумме и не изменяется в течение всего аукциона.</w:t>
      </w:r>
    </w:p>
    <w:p>
      <w:pPr>
        <w:pStyle w:val="Normal"/>
        <w:bidi w:val="0"/>
        <w:ind w:left="0" w:right="0" w:firstLine="708"/>
        <w:rPr/>
      </w:pPr>
      <w:r>
        <w:rPr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продажи.</w:t>
      </w:r>
    </w:p>
    <w:p>
      <w:pPr>
        <w:pStyle w:val="Normal"/>
        <w:bidi w:val="0"/>
        <w:ind w:left="0" w:right="0" w:firstLine="709"/>
        <w:rPr/>
      </w:pPr>
      <w:r>
        <w:rPr/>
        <w:t>Со времени начала проведения процедуры аукциона в электронной форме Организатором размещается: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  <w:lang w:eastAsia="en-US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pStyle w:val="Normal"/>
        <w:bidi w:val="0"/>
        <w:ind w:left="0" w:right="0" w:firstLine="709"/>
        <w:rPr/>
      </w:pPr>
      <w:r>
        <w:rPr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>
      <w:pPr>
        <w:pStyle w:val="Normal"/>
        <w:bidi w:val="0"/>
        <w:ind w:left="0" w:right="0" w:firstLine="709"/>
        <w:rPr/>
      </w:pPr>
      <w:r>
        <w:rPr/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rmal"/>
        <w:bidi w:val="0"/>
        <w:ind w:left="0" w:right="0" w:firstLine="709"/>
        <w:rPr/>
      </w:pPr>
      <w:r>
        <w:rPr/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pStyle w:val="Normal"/>
        <w:bidi w:val="0"/>
        <w:ind w:left="0" w:right="0" w:firstLine="709"/>
        <w:rPr/>
      </w:pPr>
      <w:r>
        <w:rPr/>
        <w:t xml:space="preserve"> </w:t>
      </w:r>
      <w:r>
        <w:rPr/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>
      <w:pPr>
        <w:pStyle w:val="Normal"/>
        <w:bidi w:val="0"/>
        <w:ind w:left="0" w:right="0" w:firstLine="709"/>
        <w:rPr/>
      </w:pPr>
      <w:r>
        <w:rPr/>
        <w:t>- предложение о цене предоставлено до начала или по истечении установленного времени для подачи предложений о цене;</w:t>
      </w:r>
    </w:p>
    <w:p>
      <w:pPr>
        <w:pStyle w:val="Normal"/>
        <w:bidi w:val="0"/>
        <w:ind w:left="0" w:right="0" w:firstLine="709"/>
        <w:rPr/>
      </w:pPr>
      <w:r>
        <w:rPr/>
        <w:t>- представленное предложение о цене ниже начальной цены продажи;</w:t>
      </w:r>
    </w:p>
    <w:p>
      <w:pPr>
        <w:pStyle w:val="Normal"/>
        <w:bidi w:val="0"/>
        <w:ind w:left="0" w:right="0" w:firstLine="709"/>
        <w:rPr/>
      </w:pPr>
      <w:r>
        <w:rPr/>
        <w:t>- представленное предложение о цене равно нулю;</w:t>
      </w:r>
    </w:p>
    <w:p>
      <w:pPr>
        <w:pStyle w:val="Normal"/>
        <w:bidi w:val="0"/>
        <w:ind w:left="0" w:right="0" w:firstLine="709"/>
        <w:rPr/>
      </w:pPr>
      <w:r>
        <w:rPr/>
        <w:t>представленное предложение о цене не соответствует увеличению текущей цены в соответствии с «шагом аукциона»;</w:t>
      </w:r>
    </w:p>
    <w:p>
      <w:pPr>
        <w:pStyle w:val="Normal"/>
        <w:bidi w:val="0"/>
        <w:ind w:left="0" w:right="0" w:firstLine="709"/>
        <w:rPr/>
      </w:pPr>
      <w:r>
        <w:rPr/>
        <w:t>- представленное Участником предложение о цене меньше ранее представленных предложений;</w:t>
      </w:r>
    </w:p>
    <w:p>
      <w:pPr>
        <w:pStyle w:val="Normal"/>
        <w:bidi w:val="0"/>
        <w:ind w:left="0" w:right="0" w:firstLine="709"/>
        <w:rPr/>
      </w:pPr>
      <w:r>
        <w:rPr/>
        <w:t>- представленное Участником предложение о цене является лучшим текущим предложением о цене.</w:t>
      </w:r>
    </w:p>
    <w:p>
      <w:pPr>
        <w:pStyle w:val="Normal"/>
        <w:bidi w:val="0"/>
        <w:ind w:left="0" w:right="0" w:firstLine="709"/>
        <w:rPr/>
      </w:pPr>
      <w:r>
        <w:rPr>
          <w:lang w:eastAsia="ru-RU"/>
        </w:rPr>
        <w:t>Победителем аукциона признается участник, предложивший наибольшую цену имущества.</w:t>
      </w:r>
    </w:p>
    <w:p>
      <w:pPr>
        <w:pStyle w:val="Normal"/>
        <w:widowControl w:val="false"/>
        <w:bidi w:val="0"/>
        <w:ind w:left="0" w:right="0" w:firstLine="709"/>
        <w:rPr/>
      </w:pPr>
      <w:r>
        <w:rPr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7">
        <w:r>
          <w:rPr>
            <w:rStyle w:val="Style11"/>
            <w:lang w:val="ru-RU" w:eastAsia="en-US" w:bidi="ar-SA"/>
          </w:rPr>
          <w:t>www.torgi.gov.ru</w:t>
        </w:r>
      </w:hyperlink>
      <w:r>
        <w:rPr>
          <w:lang w:eastAsia="ru-RU"/>
        </w:rPr>
        <w:t xml:space="preserve"> </w:t>
      </w:r>
      <w:r>
        <w:rPr/>
        <w:t>не позднее рабочего дня, следующего за днем подписания указанного протокола.</w:t>
      </w:r>
    </w:p>
    <w:p>
      <w:pPr>
        <w:pStyle w:val="Normal"/>
        <w:numPr>
          <w:ilvl w:val="0"/>
          <w:numId w:val="0"/>
        </w:numPr>
        <w:bidi w:val="0"/>
        <w:ind w:left="0" w:right="0" w:firstLine="709"/>
        <w:outlineLvl w:val="1"/>
        <w:rPr/>
      </w:pPr>
      <w:r>
        <w:rPr>
          <w:lang w:eastAsia="ru-RU"/>
        </w:rPr>
        <w:t>Процедура аукциона считается завершенной с момента подписания Продавцом протокола об итогах аукциона.</w:t>
      </w:r>
    </w:p>
    <w:p>
      <w:pPr>
        <w:pStyle w:val="Normal"/>
        <w:bidi w:val="0"/>
        <w:ind w:left="0" w:right="0" w:firstLine="709"/>
        <w:rPr/>
      </w:pPr>
      <w:r>
        <w:rPr/>
        <w:t>Аукцион признается несостоявшимся в следующих случаях:</w:t>
      </w:r>
    </w:p>
    <w:p>
      <w:pPr>
        <w:pStyle w:val="Normal"/>
        <w:bidi w:val="0"/>
        <w:ind w:left="0" w:right="0" w:firstLine="709"/>
        <w:rPr/>
      </w:pPr>
      <w:r>
        <w:rPr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>
      <w:pPr>
        <w:pStyle w:val="Normal"/>
        <w:bidi w:val="0"/>
        <w:ind w:left="0" w:right="0" w:firstLine="709"/>
        <w:rPr/>
      </w:pPr>
      <w:r>
        <w:rPr>
          <w:lang w:eastAsia="ru-RU"/>
        </w:rPr>
        <w:t>- принято решение о признании только одного Претендента участником;</w:t>
      </w:r>
    </w:p>
    <w:p>
      <w:pPr>
        <w:pStyle w:val="Normal"/>
        <w:bidi w:val="0"/>
        <w:ind w:left="0" w:right="0" w:firstLine="709"/>
        <w:rPr/>
      </w:pPr>
      <w:r>
        <w:rPr>
          <w:lang w:eastAsia="ru-RU"/>
        </w:rPr>
        <w:t>- ни один из участников не сделал предложение о начальной цене имущества.</w:t>
      </w:r>
    </w:p>
    <w:p>
      <w:pPr>
        <w:pStyle w:val="Normal"/>
        <w:bidi w:val="0"/>
        <w:ind w:left="0" w:right="0" w:firstLine="709"/>
        <w:rPr/>
      </w:pPr>
      <w:r>
        <w:rPr>
          <w:lang w:eastAsia="ru-RU"/>
        </w:rPr>
        <w:t>Решение о признании аукциона несостоявшимся оформляется протоколом об итогах аукциона.</w:t>
      </w:r>
    </w:p>
    <w:p>
      <w:pPr>
        <w:pStyle w:val="Normal"/>
        <w:bidi w:val="0"/>
        <w:ind w:left="0" w:right="0" w:firstLine="709"/>
        <w:rPr/>
      </w:pPr>
      <w:r>
        <w:rPr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pStyle w:val="Normal"/>
        <w:bidi w:val="0"/>
        <w:ind w:left="0" w:right="0" w:firstLine="709"/>
        <w:rPr/>
      </w:pPr>
      <w:r>
        <w:rPr>
          <w:lang w:eastAsia="ru-RU"/>
        </w:rPr>
        <w:t>- наименование имущества и иные позволяющие его индивидуализировать сведения;</w:t>
      </w:r>
    </w:p>
    <w:p>
      <w:pPr>
        <w:pStyle w:val="Normal"/>
        <w:bidi w:val="0"/>
        <w:ind w:left="0" w:right="0" w:firstLine="709"/>
        <w:rPr/>
      </w:pPr>
      <w:r>
        <w:rPr>
          <w:lang w:eastAsia="ru-RU"/>
        </w:rPr>
        <w:t>- цена сделки;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sz w:val="24"/>
          <w:szCs w:val="22"/>
          <w:lang w:eastAsia="en-US"/>
        </w:rPr>
        <w:t>- фамилия, имя, отчество физического лица или наименование юридического лица Победителя</w:t>
      </w:r>
      <w:r>
        <w:rPr>
          <w:rFonts w:cs="Times New Roman" w:ascii="Times New Roman" w:hAnsi="Times New Roman"/>
          <w:b w:val="false"/>
          <w:sz w:val="24"/>
          <w:szCs w:val="24"/>
          <w:lang w:eastAsia="en-US"/>
        </w:rPr>
        <w:t>.</w:t>
      </w:r>
    </w:p>
    <w:p>
      <w:pPr>
        <w:pStyle w:val="Normal"/>
        <w:bidi w:val="0"/>
        <w:ind w:left="0" w:right="0" w:firstLine="708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bidi w:val="0"/>
        <w:ind w:left="0" w:right="0" w:firstLine="708"/>
        <w:rPr/>
      </w:pPr>
      <w:r>
        <w:rPr>
          <w:b/>
        </w:rPr>
        <w:t>6. Срок заключения договора купли-продажи.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bidi w:val="0"/>
        <w:ind w:left="0" w:right="0" w:firstLine="708"/>
        <w:rPr/>
      </w:pPr>
      <w:r>
        <w:rPr/>
        <w:t xml:space="preserve">Договор купли-продажи имущества, заключается между Продавцом и победителем продажи в соответствии с Гражданским кодексом Российской Федерации, Законом о приватизации в течение 5 рабочих дней со дня подведения итогов аукциона. </w:t>
      </w:r>
    </w:p>
    <w:p>
      <w:pPr>
        <w:pStyle w:val="Normal"/>
        <w:widowControl w:val="false"/>
        <w:bidi w:val="0"/>
        <w:ind w:left="0" w:right="0" w:firstLine="708"/>
        <w:rPr/>
      </w:pPr>
      <w:r>
        <w:rPr/>
        <w:t>Заключение договора в форме электронного документа осуществляется посредством штатного интерфейса торговой секции.</w:t>
      </w:r>
    </w:p>
    <w:p>
      <w:pPr>
        <w:pStyle w:val="Normal"/>
        <w:bidi w:val="0"/>
        <w:ind w:left="0" w:right="0" w:firstLine="708"/>
        <w:rPr/>
      </w:pPr>
      <w:r>
        <w:rPr/>
        <w:t xml:space="preserve">При уклонении или отказе победителя продажи от заключения в установленный срок договора купли-продажи имущества результаты торгов аннулируются Продавцом, победитель утрачивает право на заключение указанного договора, задаток ему не возвращается. </w:t>
      </w:r>
    </w:p>
    <w:p>
      <w:pPr>
        <w:pStyle w:val="Normal"/>
        <w:bidi w:val="0"/>
        <w:ind w:left="0" w:right="0" w:firstLine="708"/>
        <w:rPr/>
      </w:pPr>
      <w:r>
        <w:rPr/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>
          <w:b/>
        </w:rPr>
        <w:t xml:space="preserve">7. Условия и сроки платежа, реквизиты счетов для оплаты по договору купли-продажи. </w:t>
      </w:r>
    </w:p>
    <w:p>
      <w:pPr>
        <w:pStyle w:val="Normal"/>
        <w:bidi w:val="0"/>
        <w:ind w:left="0" w:right="0" w:firstLine="708"/>
        <w:rPr/>
      </w:pPr>
      <w:r>
        <w:rPr/>
        <w:t xml:space="preserve">Оплата приобретаемого на электронном аукционе имущества производится единовременно в течение 10-ти дней после заключения договора купли-продажи. </w:t>
      </w:r>
    </w:p>
    <w:p>
      <w:pPr>
        <w:pStyle w:val="Normal"/>
        <w:bidi w:val="0"/>
        <w:ind w:left="0" w:right="0" w:firstLine="708"/>
        <w:rPr/>
      </w:pPr>
      <w:r>
        <w:rPr/>
        <w:t xml:space="preserve">Внесенный победителем продажи задаток засчитывается в счет оплаты приобретаемого имущества. </w:t>
      </w:r>
    </w:p>
    <w:p>
      <w:pPr>
        <w:pStyle w:val="Normal"/>
        <w:bidi w:val="0"/>
        <w:ind w:left="0" w:right="0" w:firstLine="708"/>
        <w:rPr/>
      </w:pPr>
      <w:r>
        <w:rPr/>
        <w:t>Оплата приобретенного на торгах имущества производится Покупателем путем перечисления денежных средств на счет продавца, указанный в договоре.</w:t>
      </w:r>
    </w:p>
    <w:p>
      <w:pPr>
        <w:pStyle w:val="Normal"/>
        <w:bidi w:val="0"/>
        <w:ind w:left="0" w:right="0" w:firstLine="708"/>
        <w:rPr/>
      </w:pPr>
      <w:r>
        <w:rPr/>
        <w:t>Факт оплаты имущества подтверждается выпиской со счета, указанного в договоре купли-продажи.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/>
        <w:t xml:space="preserve"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 </w:t>
      </w:r>
    </w:p>
    <w:p>
      <w:pPr>
        <w:pStyle w:val="Normal"/>
        <w:bidi w:val="0"/>
        <w:ind w:left="0" w:right="0" w:firstLine="708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8"/>
        <w:rPr/>
      </w:pPr>
      <w:r>
        <w:rPr>
          <w:b/>
        </w:rPr>
        <w:t xml:space="preserve">8. Ограничения участия отдельных категорий физических лиц и юридических лиц в приватизации муниципального имущества. </w:t>
      </w:r>
    </w:p>
    <w:p>
      <w:pPr>
        <w:pStyle w:val="Normal"/>
        <w:bidi w:val="0"/>
        <w:ind w:left="0" w:right="0" w:firstLine="708"/>
        <w:rPr>
          <w:rFonts w:ascii="Times New Roman" w:hAnsi="Times New Roman"/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bidi w:val="0"/>
        <w:ind w:left="0" w:right="0" w:firstLine="708"/>
        <w:rPr/>
      </w:pPr>
      <w:r>
        <w:rPr/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>
      <w:pPr>
        <w:pStyle w:val="Normal"/>
        <w:bidi w:val="0"/>
        <w:ind w:left="0" w:right="0" w:firstLine="708"/>
        <w:rPr/>
      </w:pPr>
      <w:r>
        <w:rPr/>
        <w:t>государственных и муниципальных унитарных предприятий, государственных и муниципальных учреждений;</w:t>
      </w:r>
    </w:p>
    <w:p>
      <w:pPr>
        <w:pStyle w:val="Normal"/>
        <w:bidi w:val="0"/>
        <w:ind w:left="0" w:right="0" w:firstLine="708"/>
        <w:rPr/>
      </w:pPr>
      <w:r>
        <w:rPr/>
        <w:t xml:space="preserve"> </w:t>
      </w:r>
      <w:r>
        <w:rPr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>
        <w:r>
          <w:rPr>
            <w:rStyle w:val="ListLabel22"/>
          </w:rPr>
          <w:t>перечень</w:t>
        </w:r>
      </w:hyperlink>
      <w:r>
        <w:rPr/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pStyle w:val="Normal"/>
        <w:bidi w:val="0"/>
        <w:ind w:left="0" w:right="0" w:firstLine="708"/>
        <w:rPr/>
      </w:pPr>
      <w:r>
        <w:rPr/>
        <w:t xml:space="preserve"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 </w:t>
      </w:r>
    </w:p>
    <w:p>
      <w:pPr>
        <w:pStyle w:val="Normal"/>
        <w:bidi w:val="0"/>
        <w:ind w:left="0" w:right="0" w:firstLine="708"/>
        <w:rPr>
          <w:rFonts w:ascii="Times New Roman" w:hAnsi="Times New Roman"/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ind w:left="0" w:right="0" w:firstLine="708"/>
        <w:rPr/>
      </w:pPr>
      <w:r>
        <w:rPr>
          <w:b/>
        </w:rPr>
        <w:t>9.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bidi w:val="0"/>
        <w:ind w:left="0" w:right="0" w:hanging="0"/>
        <w:rPr/>
      </w:pPr>
      <w:r>
        <w:rPr/>
        <w:t>Ранее имущество на торги не выставлялось.</w:t>
      </w:r>
    </w:p>
    <w:p>
      <w:pPr>
        <w:pStyle w:val="Normal"/>
        <w:bidi w:val="0"/>
        <w:ind w:left="0" w:right="0" w:hanging="0"/>
        <w:rPr>
          <w:rFonts w:ascii="Times New Roman" w:hAnsi="Times New Roman"/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spacing w:lineRule="auto" w:line="276"/>
        <w:ind w:left="0" w:right="0" w:firstLine="284"/>
        <w:rPr/>
      </w:pPr>
      <w:r>
        <w:rPr/>
        <w:t>Приложение 1. Заявка (образец электронной формы заявки - заполняется на площадке),</w:t>
      </w:r>
    </w:p>
    <w:p>
      <w:pPr>
        <w:pStyle w:val="Normal"/>
        <w:bidi w:val="0"/>
        <w:spacing w:lineRule="auto" w:line="276"/>
        <w:ind w:left="0" w:right="0" w:firstLine="284"/>
        <w:rPr/>
      </w:pPr>
      <w:r>
        <w:rPr/>
        <w:t>Приложение 2. Опись представляемых документов,</w:t>
      </w:r>
    </w:p>
    <w:p>
      <w:pPr>
        <w:pStyle w:val="Normal"/>
        <w:bidi w:val="0"/>
        <w:spacing w:lineRule="auto" w:line="276"/>
        <w:ind w:left="0" w:right="0" w:firstLine="284"/>
        <w:rPr/>
      </w:pPr>
      <w:r>
        <w:rPr/>
        <w:t>Приложение 3. Проект договора купли-продажи по лоту № 1,</w:t>
      </w:r>
    </w:p>
    <w:sectPr>
      <w:footerReference w:type="default" r:id="rId9"/>
      <w:type w:val="nextPage"/>
      <w:pgSz w:w="11906" w:h="16838"/>
      <w:pgMar w:left="1134" w:right="991" w:header="0" w:top="851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tabs>
        <w:tab w:val="center" w:pos="4677" w:leader="none"/>
        <w:tab w:val="right" w:pos="9355" w:leader="none"/>
      </w:tabs>
      <w:bidi w:val="0"/>
      <w:ind w:left="0" w:right="0" w:hanging="0"/>
      <w:jc w:val="center"/>
      <w:textAlignment w:val="auto"/>
      <w:rPr/>
    </w:pPr>
    <w:r>
      <w:rPr>
        <w:rFonts w:cs="Times New Roman"/>
        <w:sz w:val="24"/>
        <w:szCs w:val="24"/>
        <w:lang w:val="ru-RU" w:eastAsia="ru-RU" w:bidi="ar-SA"/>
      </w:rPr>
      <w:fldChar w:fldCharType="begin"/>
    </w:r>
    <w:r>
      <w:rPr>
        <w:sz w:val="24"/>
        <w:szCs w:val="24"/>
        <w:rFonts w:cs="Times New Roman"/>
      </w:rPr>
      <w:instrText> PAGE </w:instrText>
    </w:r>
    <w:r>
      <w:rPr>
        <w:sz w:val="24"/>
        <w:szCs w:val="24"/>
        <w:rFonts w:cs="Times New Roman"/>
      </w:rPr>
      <w:fldChar w:fldCharType="separate"/>
    </w:r>
    <w:r>
      <w:rPr>
        <w:sz w:val="24"/>
        <w:szCs w:val="24"/>
        <w:rFonts w:cs="Times New Roman"/>
      </w:rPr>
      <w:t>10</w:t>
    </w:r>
    <w:r>
      <w:rPr>
        <w:sz w:val="24"/>
        <w:szCs w:val="24"/>
        <w:rFonts w:cs="Times New Roman"/>
      </w:rPr>
      <w:fldChar w:fldCharType="end"/>
    </w:r>
  </w:p>
  <w:p>
    <w:pPr>
      <w:pStyle w:val="Style24"/>
      <w:widowControl/>
      <w:tabs>
        <w:tab w:val="center" w:pos="4677" w:leader="none"/>
        <w:tab w:val="right" w:pos="9355" w:leader="none"/>
      </w:tabs>
      <w:bidi w:val="0"/>
      <w:ind w:left="0" w:right="0" w:hanging="0"/>
      <w:jc w:val="both"/>
      <w:textAlignment w:val="auto"/>
      <w:rPr>
        <w:rFonts w:ascii="Times New Roman" w:hAnsi="Times New Roman" w:cs="Times New Roman"/>
        <w:sz w:val="24"/>
        <w:szCs w:val="24"/>
        <w:lang w:val="ru-RU" w:eastAsia="en-US" w:bidi="ar-SA"/>
      </w:rPr>
    </w:pPr>
    <w:r>
      <w:rPr>
        <w:rFonts w:cs="Times New Roman"/>
        <w:sz w:val="24"/>
        <w:szCs w:val="24"/>
        <w:lang w:val="ru-RU" w:eastAsia="en-US" w:bidi="ar-SA"/>
      </w:rPr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en-US" w:bidi="ar-SA"/>
    </w:rPr>
  </w:style>
  <w:style w:type="paragraph" w:styleId="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4">
    <w:name w:val="Heading 4"/>
    <w:basedOn w:val="Normal"/>
    <w:qFormat/>
    <w:pPr>
      <w:spacing w:beforeAutospacing="1" w:afterAutospacing="1"/>
      <w:jc w:val="left"/>
      <w:outlineLvl w:val="3"/>
    </w:pPr>
    <w:rPr>
      <w:rFonts w:ascii="Arial" w:hAnsi="Arial" w:cs="Arial"/>
      <w:b/>
      <w:color w:val="000000"/>
      <w:lang w:eastAsia="ru-RU"/>
    </w:rPr>
  </w:style>
  <w:style w:type="paragraph" w:styleId="5">
    <w:name w:val="Heading 5"/>
    <w:basedOn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41">
    <w:name w:val="Заголовок 4 Знак"/>
    <w:basedOn w:val="DefaultParagraphFont"/>
    <w:qFormat/>
    <w:rPr>
      <w:rFonts w:ascii="Arial" w:hAnsi="Arial" w:cs="Arial"/>
      <w:color w:val="000000"/>
      <w:lang w:eastAsia="ru-RU"/>
    </w:rPr>
  </w:style>
  <w:style w:type="character" w:styleId="51">
    <w:name w:val="Заголовок 5 Знак"/>
    <w:basedOn w:val="DefaultParagraphFont"/>
    <w:qFormat/>
    <w:rPr>
      <w:rFonts w:eastAsia="Times New Roman"/>
      <w:b/>
      <w:bCs/>
      <w:i/>
      <w:iCs/>
      <w:sz w:val="26"/>
      <w:szCs w:val="26"/>
      <w:lang w:eastAsia="ru-RU"/>
    </w:rPr>
  </w:style>
  <w:style w:type="character" w:styleId="Style11">
    <w:name w:val="Интернет-ссылка"/>
    <w:basedOn w:val="DefaultParagraphFont"/>
    <w:rPr>
      <w:color w:val="0000FF"/>
      <w:u w:val="single"/>
    </w:rPr>
  </w:style>
  <w:style w:type="character" w:styleId="2">
    <w:name w:val="Основной текст 2 Знак"/>
    <w:basedOn w:val="DefaultParagraphFont"/>
    <w:qFormat/>
    <w:rPr>
      <w:rFonts w:eastAsia="Times New Roman"/>
      <w:sz w:val="20"/>
      <w:szCs w:val="20"/>
      <w:lang w:eastAsia="ru-RU"/>
    </w:rPr>
  </w:style>
  <w:style w:type="character" w:styleId="Style12">
    <w:name w:val="Выделение"/>
    <w:basedOn w:val="DefaultParagraphFont"/>
    <w:qFormat/>
    <w:rPr>
      <w:i/>
      <w:i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3">
    <w:name w:val="Текст Знак"/>
    <w:basedOn w:val="DefaultParagraphFont"/>
    <w:qFormat/>
    <w:rPr>
      <w:rFonts w:ascii="Courier New" w:hAnsi="Courier New"/>
      <w:sz w:val="20"/>
      <w:szCs w:val="20"/>
      <w:lang w:eastAsia="ru-RU"/>
    </w:rPr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5">
    <w:name w:val="Верхний колонтитул Знак"/>
    <w:basedOn w:val="DefaultParagraphFont"/>
    <w:qFormat/>
    <w:rPr/>
  </w:style>
  <w:style w:type="character" w:styleId="Style16">
    <w:name w:val="Нижний колонтитул Знак"/>
    <w:basedOn w:val="DefaultParagraphFont"/>
    <w:qFormat/>
    <w:rPr/>
  </w:style>
  <w:style w:type="character" w:styleId="Style17">
    <w:name w:val="Основной текст Знак"/>
    <w:basedOn w:val="DefaultParagraphFont"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ascii="Times New Roman" w:hAnsi="Times New Roman"/>
      <w:lang w:val="ru-RU" w:eastAsia="en-US" w:bidi="ar-SA"/>
    </w:rPr>
  </w:style>
  <w:style w:type="character" w:styleId="ListLabel21">
    <w:name w:val="ListLabel 21"/>
    <w:qFormat/>
    <w:rPr>
      <w:rFonts w:ascii="Times New Roman" w:hAnsi="Times New Roman"/>
      <w:lang w:val="en-US"/>
    </w:rPr>
  </w:style>
  <w:style w:type="character" w:styleId="ListLabel22">
    <w:name w:val="ListLabel 22"/>
    <w:qFormat/>
    <w:rPr>
      <w:rFonts w:ascii="Times New Roman" w:hAnsi="Times New Roman"/>
    </w:rPr>
  </w:style>
  <w:style w:type="character" w:styleId="ListLabel23">
    <w:name w:val="ListLabel 23"/>
    <w:qFormat/>
    <w:rPr>
      <w:rFonts w:ascii="Times New Roman" w:hAnsi="Times New Roman" w:cs="Times New Roman"/>
      <w:b w:val="false"/>
      <w:sz w:val="24"/>
      <w:szCs w:val="24"/>
      <w:lang w:eastAsia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en-US" w:bidi="ar-SA"/>
    </w:rPr>
  </w:style>
  <w:style w:type="paragraph" w:styleId="NormalWeb">
    <w:name w:val="Normal (Web)"/>
    <w:basedOn w:val="Normal"/>
    <w:qFormat/>
    <w:pPr>
      <w:spacing w:before="74" w:after="74"/>
      <w:ind w:left="74" w:right="74" w:hanging="0"/>
      <w:jc w:val="left"/>
    </w:pPr>
    <w:rPr>
      <w:rFonts w:ascii="Arial CYR" w:hAnsi="Arial CYR" w:cs="Arial CYR"/>
      <w:b/>
      <w:color w:val="000000"/>
      <w:sz w:val="30"/>
      <w:szCs w:val="30"/>
      <w:lang w:eastAsia="ru-RU"/>
    </w:rPr>
  </w:style>
  <w:style w:type="paragraph" w:styleId="BodyText2">
    <w:name w:val="Body Text 2"/>
    <w:basedOn w:val="Normal"/>
    <w:qFormat/>
    <w:pPr>
      <w:spacing w:lineRule="auto" w:line="480" w:before="0" w:after="120"/>
      <w:jc w:val="left"/>
    </w:pPr>
    <w:rPr>
      <w:b/>
      <w:sz w:val="20"/>
      <w:szCs w:val="20"/>
      <w:lang w:eastAsia="ru-RU"/>
    </w:rPr>
  </w:style>
  <w:style w:type="paragraph" w:styleId="ConsPlusNormal">
    <w:name w:val="ConsPlusNormal"/>
    <w:qFormat/>
    <w:pPr>
      <w:widowControl w:val="false"/>
      <w:jc w:val="left"/>
      <w:textAlignment w:val="auto"/>
    </w:pPr>
    <w:rPr>
      <w:rFonts w:ascii="Arial" w:hAnsi="Arial" w:eastAsia="Courier New" w:cs="Arial"/>
      <w:b/>
      <w:color w:val="auto"/>
      <w:kern w:val="2"/>
      <w:sz w:val="20"/>
      <w:szCs w:val="20"/>
      <w:lang w:val="ru-RU" w:eastAsia="ru-RU" w:bidi="ar-SA"/>
    </w:rPr>
  </w:style>
  <w:style w:type="paragraph" w:styleId="TextBoldCenter">
    <w:name w:val="TextBoldCenter"/>
    <w:basedOn w:val="Normal"/>
    <w:qFormat/>
    <w:pPr>
      <w:spacing w:before="283" w:after="0"/>
      <w:jc w:val="center"/>
    </w:pPr>
    <w:rPr>
      <w:b/>
      <w:bCs/>
      <w:sz w:val="26"/>
      <w:szCs w:val="26"/>
      <w:lang w:eastAsia="ru-RU"/>
    </w:rPr>
  </w:style>
  <w:style w:type="paragraph" w:styleId="ConsPlusNonformat">
    <w:name w:val="ConsPlusNonformat"/>
    <w:qFormat/>
    <w:pPr>
      <w:widowControl w:val="false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  <w:jc w:val="left"/>
    </w:pPr>
    <w:rPr>
      <w:sz w:val="20"/>
      <w:szCs w:val="20"/>
      <w:lang w:eastAsia="ru-RU"/>
    </w:rPr>
  </w:style>
  <w:style w:type="paragraph" w:styleId="PlainText">
    <w:name w:val="Plain Text"/>
    <w:basedOn w:val="Normal"/>
    <w:qFormat/>
    <w:pPr>
      <w:jc w:val="left"/>
    </w:pPr>
    <w:rPr>
      <w:rFonts w:ascii="Courier New" w:hAnsi="Courier New"/>
      <w:sz w:val="20"/>
      <w:szCs w:val="20"/>
      <w:lang w:eastAsia="ru-RU"/>
    </w:rPr>
  </w:style>
  <w:style w:type="paragraph" w:styleId="TableGrid">
    <w:name w:val="Table Grid"/>
    <w:basedOn w:val="DocumentMap"/>
    <w:qFormat/>
    <w:pPr/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12">
    <w:name w:val="Обычный1"/>
    <w:qFormat/>
    <w:pPr>
      <w:widowControl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ast.ru/AP/Notice/1027/Instructions" TargetMode="External"/><Relationship Id="rId3" Type="http://schemas.openxmlformats.org/officeDocument/2006/relationships/hyperlink" Target="mailto:kumi-zakaz@admnet.kamensktel.ru" TargetMode="External"/><Relationship Id="rId4" Type="http://schemas.openxmlformats.org/officeDocument/2006/relationships/hyperlink" Target="mailto:property@sberbank-ast.ru" TargetMode="External"/><Relationship Id="rId5" Type="http://schemas.openxmlformats.org/officeDocument/2006/relationships/hyperlink" Target="http://www.torgi.gov.ru/" TargetMode="External"/><Relationship Id="rId6" Type="http://schemas.openxmlformats.org/officeDocument/2006/relationships/hyperlink" Target="https://imush.kamensk-uralskiy.ru/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12</Pages>
  <Words>3083</Words>
  <Characters>21878</Characters>
  <CharactersWithSpaces>24870</CharactersWithSpaces>
  <Paragraphs>170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2022-06-15T11:06:00Z</dcterms:created>
  <dc:creator>Goikhman</dc:creator>
  <dc:description/>
  <dc:language>ru-RU</dc:language>
  <cp:lastModifiedBy/>
  <cp:lastPrinted>2022-06-15T16:00:00Z</cp:lastPrinted>
  <dcterms:modified xsi:type="dcterms:W3CDTF">2022-06-16T14:42:00Z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Operator">
    <vt:lpwstr>Пользователь</vt:lpwstr>
  </property>
</Properties>
</file>